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11E" w:rsidRDefault="00CA62EE" w:rsidP="00CA62EE">
      <w:pPr>
        <w:jc w:val="center"/>
        <w:rPr>
          <w:rFonts w:ascii="Arial CE" w:hAnsi="Arial CE" w:cs="Arial"/>
          <w:sz w:val="28"/>
          <w:szCs w:val="28"/>
        </w:rPr>
      </w:pPr>
      <w:r w:rsidRPr="00CA62EE">
        <w:rPr>
          <w:rFonts w:ascii="Arial CE" w:hAnsi="Arial CE" w:cs="Arial"/>
          <w:sz w:val="28"/>
          <w:szCs w:val="28"/>
        </w:rPr>
        <w:t>Důvodová zpráva</w:t>
      </w:r>
    </w:p>
    <w:p w:rsidR="00CA62EE" w:rsidRPr="00CA62EE" w:rsidRDefault="00CA62EE" w:rsidP="00CA62EE">
      <w:pPr>
        <w:jc w:val="center"/>
        <w:rPr>
          <w:rFonts w:ascii="Arial CE" w:hAnsi="Arial CE" w:cs="Arial"/>
          <w:sz w:val="28"/>
          <w:szCs w:val="28"/>
        </w:rPr>
      </w:pPr>
    </w:p>
    <w:p w:rsidR="00CA62EE" w:rsidRPr="00CA62EE" w:rsidRDefault="00730ABE" w:rsidP="00CA62EE">
      <w:pPr>
        <w:jc w:val="both"/>
        <w:rPr>
          <w:rFonts w:ascii="Arial CE" w:hAnsi="Arial CE" w:cs="Arial"/>
        </w:rPr>
      </w:pPr>
      <w:r>
        <w:rPr>
          <w:rFonts w:ascii="Arial CE" w:hAnsi="Arial CE" w:cs="Arial"/>
        </w:rPr>
        <w:t>Zastupitelstvu</w:t>
      </w:r>
      <w:r w:rsidR="00682A50">
        <w:rPr>
          <w:rFonts w:ascii="Arial CE" w:hAnsi="Arial CE" w:cs="Arial"/>
        </w:rPr>
        <w:t xml:space="preserve"> městské části je předkládána informace</w:t>
      </w:r>
      <w:r w:rsidR="00CA62EE" w:rsidRPr="00CA62EE">
        <w:rPr>
          <w:rFonts w:ascii="Arial CE" w:hAnsi="Arial CE" w:cs="Arial"/>
        </w:rPr>
        <w:t xml:space="preserve">, že od 1.6.2017 </w:t>
      </w:r>
      <w:r w:rsidR="003C7156">
        <w:rPr>
          <w:rFonts w:ascii="Arial CE" w:hAnsi="Arial CE" w:cs="Arial"/>
        </w:rPr>
        <w:t>došlo</w:t>
      </w:r>
      <w:r w:rsidR="00CE1BAC">
        <w:rPr>
          <w:rFonts w:ascii="Arial CE" w:hAnsi="Arial CE" w:cs="Arial"/>
        </w:rPr>
        <w:t xml:space="preserve"> </w:t>
      </w:r>
      <w:r w:rsidR="00CE1BAC" w:rsidRPr="00CE1BAC">
        <w:rPr>
          <w:rFonts w:ascii="Arial CE" w:hAnsi="Arial CE" w:cs="Arial"/>
          <w:b/>
        </w:rPr>
        <w:t xml:space="preserve">pouze </w:t>
      </w:r>
      <w:r w:rsidR="00CE1BAC">
        <w:rPr>
          <w:rFonts w:ascii="Arial CE" w:hAnsi="Arial CE" w:cs="Arial"/>
        </w:rPr>
        <w:t>k náhradě</w:t>
      </w:r>
      <w:r w:rsidR="003C7156">
        <w:rPr>
          <w:rFonts w:ascii="Arial CE" w:hAnsi="Arial CE" w:cs="Arial"/>
        </w:rPr>
        <w:t xml:space="preserve"> </w:t>
      </w:r>
      <w:r w:rsidR="00FB1B45">
        <w:rPr>
          <w:rFonts w:ascii="Arial CE" w:hAnsi="Arial CE" w:cs="Arial"/>
        </w:rPr>
        <w:t>nového dluhopisového</w:t>
      </w:r>
      <w:r w:rsidR="00682A50">
        <w:rPr>
          <w:rFonts w:ascii="Arial CE" w:hAnsi="Arial CE" w:cs="Arial"/>
        </w:rPr>
        <w:t xml:space="preserve"> </w:t>
      </w:r>
      <w:r w:rsidR="00FB1B45">
        <w:rPr>
          <w:rFonts w:ascii="Arial CE" w:hAnsi="Arial CE" w:cs="Arial"/>
        </w:rPr>
        <w:t>indexu</w:t>
      </w:r>
      <w:r w:rsidR="00682A50">
        <w:rPr>
          <w:rFonts w:ascii="Arial CE" w:hAnsi="Arial CE" w:cs="Arial"/>
        </w:rPr>
        <w:t xml:space="preserve"> </w:t>
      </w:r>
      <w:r w:rsidR="00FB1B45" w:rsidRPr="00C322C0">
        <w:rPr>
          <w:rFonts w:ascii="Arial CE" w:hAnsi="Arial CE" w:cs="Arial"/>
        </w:rPr>
        <w:t>za starý</w:t>
      </w:r>
      <w:r w:rsidR="00FB1B45">
        <w:rPr>
          <w:rFonts w:ascii="Arial CE" w:hAnsi="Arial CE" w:cs="Arial"/>
        </w:rPr>
        <w:t xml:space="preserve">, který již </w:t>
      </w:r>
      <w:r w:rsidR="00FB1B45" w:rsidRPr="00C322C0">
        <w:rPr>
          <w:rFonts w:ascii="Arial CE" w:hAnsi="Arial CE" w:cs="Arial"/>
          <w:b/>
        </w:rPr>
        <w:t>není</w:t>
      </w:r>
      <w:r w:rsidR="00FB1B45">
        <w:rPr>
          <w:rFonts w:ascii="Arial CE" w:hAnsi="Arial CE" w:cs="Arial"/>
        </w:rPr>
        <w:t xml:space="preserve"> agenturou </w:t>
      </w:r>
      <w:proofErr w:type="spellStart"/>
      <w:r w:rsidR="00FB1B45">
        <w:rPr>
          <w:rFonts w:ascii="Arial CE" w:hAnsi="Arial CE" w:cs="Arial"/>
        </w:rPr>
        <w:t>Bloomberg</w:t>
      </w:r>
      <w:proofErr w:type="spellEnd"/>
      <w:r w:rsidR="00FB1B45">
        <w:rPr>
          <w:rFonts w:ascii="Arial CE" w:hAnsi="Arial CE" w:cs="Arial"/>
        </w:rPr>
        <w:t xml:space="preserve"> </w:t>
      </w:r>
      <w:r w:rsidR="00FB1B45" w:rsidRPr="00C322C0">
        <w:rPr>
          <w:rFonts w:ascii="Arial CE" w:hAnsi="Arial CE" w:cs="Arial"/>
          <w:b/>
        </w:rPr>
        <w:t>zveřejňovaný</w:t>
      </w:r>
      <w:r w:rsidR="00C322C0" w:rsidRPr="00C322C0">
        <w:rPr>
          <w:rFonts w:ascii="Arial CE" w:hAnsi="Arial CE" w:cs="Arial"/>
          <w:b/>
        </w:rPr>
        <w:t xml:space="preserve"> (CHL1TR)</w:t>
      </w:r>
      <w:r w:rsidR="00FB1B45">
        <w:rPr>
          <w:rFonts w:ascii="Arial CE" w:hAnsi="Arial CE" w:cs="Arial"/>
        </w:rPr>
        <w:t xml:space="preserve">, </w:t>
      </w:r>
      <w:r w:rsidR="00CA62EE" w:rsidRPr="00CA62EE">
        <w:rPr>
          <w:rFonts w:ascii="Arial CE" w:hAnsi="Arial CE" w:cs="Arial"/>
        </w:rPr>
        <w:t>mění se srovnávací etalon (benchmark) pro Portfolio 2, a to:</w:t>
      </w:r>
    </w:p>
    <w:p w:rsidR="00CA62EE" w:rsidRPr="00CA62EE" w:rsidRDefault="004803C8" w:rsidP="004803C8">
      <w:pPr>
        <w:spacing w:line="240" w:lineRule="auto"/>
        <w:jc w:val="both"/>
        <w:rPr>
          <w:rFonts w:ascii="Arial CE" w:hAnsi="Arial CE" w:cs="Arial"/>
        </w:rPr>
      </w:pPr>
      <w:r w:rsidRPr="00CA62EE">
        <w:rPr>
          <w:rFonts w:ascii="Arial CE" w:hAnsi="Arial CE" w:cs="Arial"/>
        </w:rPr>
        <w:t xml:space="preserve"> </w:t>
      </w:r>
      <w:r>
        <w:rPr>
          <w:rFonts w:ascii="Arial CE" w:hAnsi="Arial CE" w:cs="Arial"/>
        </w:rPr>
        <w:t>[70</w:t>
      </w:r>
      <w:r w:rsidR="00CA62EE" w:rsidRPr="00CA62EE">
        <w:rPr>
          <w:rFonts w:ascii="Arial CE" w:hAnsi="Arial CE" w:cs="Arial"/>
        </w:rPr>
        <w:t>% x [50%CZEONIA(</w:t>
      </w:r>
      <w:proofErr w:type="spellStart"/>
      <w:r w:rsidR="00CA62EE" w:rsidRPr="00CA62EE">
        <w:rPr>
          <w:rFonts w:ascii="Arial CE" w:hAnsi="Arial CE" w:cs="Arial"/>
        </w:rPr>
        <w:t>Δt</w:t>
      </w:r>
      <w:proofErr w:type="spellEnd"/>
      <w:r w:rsidR="00F75822">
        <w:rPr>
          <w:rFonts w:ascii="Arial CE" w:hAnsi="Arial CE" w:cs="Arial"/>
        </w:rPr>
        <w:t>)</w:t>
      </w:r>
      <w:r w:rsidR="00CA62EE" w:rsidRPr="00CA62EE">
        <w:rPr>
          <w:rFonts w:ascii="Arial CE" w:hAnsi="Arial CE" w:cs="Arial"/>
        </w:rPr>
        <w:t>+50%BZECG1(</w:t>
      </w:r>
      <w:proofErr w:type="spellStart"/>
      <w:r w:rsidR="00CA62EE" w:rsidRPr="00CA62EE">
        <w:rPr>
          <w:rFonts w:ascii="Arial CE" w:hAnsi="Arial CE" w:cs="Arial"/>
        </w:rPr>
        <w:t>Δt</w:t>
      </w:r>
      <w:proofErr w:type="spellEnd"/>
      <w:r w:rsidR="00CA62EE" w:rsidRPr="00CA62EE">
        <w:rPr>
          <w:rFonts w:ascii="Arial CE" w:hAnsi="Arial CE" w:cs="Arial"/>
        </w:rPr>
        <w:t>)] + 10% x MXWD(</w:t>
      </w:r>
      <w:proofErr w:type="spellStart"/>
      <w:r w:rsidR="00CA62EE" w:rsidRPr="00CA62EE">
        <w:rPr>
          <w:rFonts w:ascii="Arial CE" w:hAnsi="Arial CE" w:cs="Arial"/>
        </w:rPr>
        <w:t>Δt</w:t>
      </w:r>
      <w:proofErr w:type="spellEnd"/>
      <w:r w:rsidR="00CA62EE" w:rsidRPr="00CA62EE">
        <w:rPr>
          <w:rFonts w:ascii="Arial CE" w:hAnsi="Arial CE" w:cs="Arial"/>
        </w:rPr>
        <w:t>) + 10% x REICO(</w:t>
      </w:r>
      <w:proofErr w:type="spellStart"/>
      <w:r w:rsidR="00CA62EE" w:rsidRPr="00CA62EE">
        <w:rPr>
          <w:rFonts w:ascii="Arial CE" w:hAnsi="Arial CE" w:cs="Arial"/>
        </w:rPr>
        <w:t>Δt</w:t>
      </w:r>
      <w:proofErr w:type="spellEnd"/>
      <w:r w:rsidR="00CA62EE" w:rsidRPr="00CA62EE">
        <w:rPr>
          <w:rFonts w:ascii="Arial CE" w:hAnsi="Arial CE" w:cs="Arial"/>
        </w:rPr>
        <w:t xml:space="preserve">) </w:t>
      </w:r>
      <w:r>
        <w:rPr>
          <w:rFonts w:ascii="Arial CE" w:hAnsi="Arial CE" w:cs="Arial"/>
        </w:rPr>
        <w:br/>
      </w:r>
      <w:r w:rsidR="00CA62EE" w:rsidRPr="00CA62EE">
        <w:rPr>
          <w:rFonts w:ascii="Arial CE" w:hAnsi="Arial CE" w:cs="Arial"/>
        </w:rPr>
        <w:t>+ 10% x LYXRHFI(</w:t>
      </w:r>
      <w:proofErr w:type="spellStart"/>
      <w:r w:rsidR="00CA62EE" w:rsidRPr="00CA62EE">
        <w:rPr>
          <w:rFonts w:ascii="Arial CE" w:hAnsi="Arial CE" w:cs="Arial"/>
        </w:rPr>
        <w:t>Δt</w:t>
      </w:r>
      <w:proofErr w:type="spellEnd"/>
      <w:r w:rsidR="00CA62EE" w:rsidRPr="00CA62EE">
        <w:rPr>
          <w:rFonts w:ascii="Arial CE" w:hAnsi="Arial CE" w:cs="Arial"/>
        </w:rPr>
        <w:t>)] - 0,50%</w:t>
      </w:r>
      <w:r w:rsidR="00CA62EE">
        <w:rPr>
          <w:rFonts w:ascii="Arial CE" w:hAnsi="Arial CE" w:cs="Arial"/>
        </w:rPr>
        <w:t>,</w:t>
      </w:r>
    </w:p>
    <w:p w:rsidR="00CA62EE" w:rsidRPr="00CA62EE" w:rsidRDefault="00CA62EE" w:rsidP="004803C8">
      <w:pPr>
        <w:spacing w:line="240" w:lineRule="auto"/>
        <w:jc w:val="both"/>
        <w:rPr>
          <w:rFonts w:ascii="Arial CE" w:hAnsi="Arial CE" w:cs="Arial"/>
        </w:rPr>
      </w:pPr>
      <w:r w:rsidRPr="00CA62EE">
        <w:rPr>
          <w:rFonts w:ascii="Arial CE" w:hAnsi="Arial CE" w:cs="Arial"/>
        </w:rPr>
        <w:t>CZEONIA(</w:t>
      </w:r>
      <w:proofErr w:type="spellStart"/>
      <w:r w:rsidRPr="00CA62EE">
        <w:rPr>
          <w:rFonts w:ascii="Arial CE" w:hAnsi="Arial CE" w:cs="Arial"/>
        </w:rPr>
        <w:t>Δt</w:t>
      </w:r>
      <w:proofErr w:type="spellEnd"/>
      <w:r w:rsidRPr="00CA62EE">
        <w:rPr>
          <w:rFonts w:ascii="Arial CE" w:hAnsi="Arial CE" w:cs="Arial"/>
        </w:rPr>
        <w:t xml:space="preserve">) = výkonnost série navazujících jednodenních vkladů za sazbu CZEONIA </w:t>
      </w:r>
      <w:r>
        <w:rPr>
          <w:rFonts w:ascii="Arial CE" w:hAnsi="Arial CE" w:cs="Arial"/>
        </w:rPr>
        <w:br/>
      </w:r>
      <w:r w:rsidRPr="00CA62EE">
        <w:rPr>
          <w:rFonts w:ascii="Arial CE" w:hAnsi="Arial CE" w:cs="Arial"/>
        </w:rPr>
        <w:t>za sledované období;</w:t>
      </w:r>
    </w:p>
    <w:p w:rsidR="00CA62EE" w:rsidRPr="00CA62EE" w:rsidRDefault="00CA62EE" w:rsidP="004803C8">
      <w:pPr>
        <w:spacing w:line="240" w:lineRule="auto"/>
        <w:jc w:val="both"/>
        <w:rPr>
          <w:rFonts w:ascii="Arial CE" w:hAnsi="Arial CE" w:cs="Arial"/>
        </w:rPr>
      </w:pPr>
      <w:r w:rsidRPr="00CA62EE">
        <w:rPr>
          <w:rFonts w:ascii="Arial CE" w:hAnsi="Arial CE" w:cs="Arial"/>
        </w:rPr>
        <w:t>BZECG1(</w:t>
      </w:r>
      <w:proofErr w:type="spellStart"/>
      <w:r w:rsidRPr="00CA62EE">
        <w:rPr>
          <w:rFonts w:ascii="Arial CE" w:hAnsi="Arial CE" w:cs="Arial"/>
        </w:rPr>
        <w:t>Δt</w:t>
      </w:r>
      <w:proofErr w:type="spellEnd"/>
      <w:r w:rsidRPr="00CA62EE">
        <w:rPr>
          <w:rFonts w:ascii="Arial CE" w:hAnsi="Arial CE" w:cs="Arial"/>
        </w:rPr>
        <w:t xml:space="preserve">) = výkonnost indexu domácích státních dluhopisů </w:t>
      </w:r>
      <w:proofErr w:type="spellStart"/>
      <w:r w:rsidRPr="00CA62EE">
        <w:rPr>
          <w:rFonts w:ascii="Arial CE" w:hAnsi="Arial CE" w:cs="Arial"/>
        </w:rPr>
        <w:t>Bloomberg</w:t>
      </w:r>
      <w:proofErr w:type="spellEnd"/>
      <w:r w:rsidRPr="00CA62EE">
        <w:rPr>
          <w:rFonts w:ascii="Arial CE" w:hAnsi="Arial CE" w:cs="Arial"/>
        </w:rPr>
        <w:t xml:space="preserve"> </w:t>
      </w:r>
      <w:proofErr w:type="spellStart"/>
      <w:r w:rsidRPr="00CA62EE">
        <w:rPr>
          <w:rFonts w:ascii="Arial CE" w:hAnsi="Arial CE" w:cs="Arial"/>
        </w:rPr>
        <w:t>Barclays</w:t>
      </w:r>
      <w:proofErr w:type="spellEnd"/>
      <w:r w:rsidRPr="00CA62EE">
        <w:rPr>
          <w:rFonts w:ascii="Arial CE" w:hAnsi="Arial CE" w:cs="Arial"/>
        </w:rPr>
        <w:t xml:space="preserve"> </w:t>
      </w:r>
      <w:proofErr w:type="spellStart"/>
      <w:r w:rsidRPr="00CA62EE">
        <w:rPr>
          <w:rFonts w:ascii="Arial CE" w:hAnsi="Arial CE" w:cs="Arial"/>
        </w:rPr>
        <w:t>Series</w:t>
      </w:r>
      <w:proofErr w:type="spellEnd"/>
      <w:r w:rsidRPr="00CA62EE">
        <w:rPr>
          <w:rFonts w:ascii="Arial CE" w:hAnsi="Arial CE" w:cs="Arial"/>
        </w:rPr>
        <w:t>-E se splatností 1-3 roky za</w:t>
      </w:r>
      <w:r>
        <w:rPr>
          <w:rFonts w:ascii="Arial CE" w:hAnsi="Arial CE" w:cs="Arial"/>
        </w:rPr>
        <w:t>,</w:t>
      </w:r>
    </w:p>
    <w:p w:rsidR="00CA62EE" w:rsidRPr="00CA62EE" w:rsidRDefault="00CA62EE" w:rsidP="004803C8">
      <w:pPr>
        <w:spacing w:line="240" w:lineRule="auto"/>
        <w:jc w:val="both"/>
        <w:rPr>
          <w:rFonts w:ascii="Arial CE" w:hAnsi="Arial CE" w:cs="Arial"/>
        </w:rPr>
      </w:pPr>
      <w:r w:rsidRPr="00CA62EE">
        <w:rPr>
          <w:rFonts w:ascii="Arial CE" w:hAnsi="Arial CE" w:cs="Arial"/>
        </w:rPr>
        <w:t>sledované období (</w:t>
      </w:r>
      <w:proofErr w:type="spellStart"/>
      <w:r w:rsidRPr="00CA62EE">
        <w:rPr>
          <w:rFonts w:ascii="Arial CE" w:hAnsi="Arial CE" w:cs="Arial"/>
        </w:rPr>
        <w:t>Bloomberg</w:t>
      </w:r>
      <w:proofErr w:type="spellEnd"/>
      <w:r w:rsidRPr="00CA62EE">
        <w:rPr>
          <w:rFonts w:ascii="Arial CE" w:hAnsi="Arial CE" w:cs="Arial"/>
        </w:rPr>
        <w:t>);</w:t>
      </w:r>
    </w:p>
    <w:p w:rsidR="00CA62EE" w:rsidRPr="00CA62EE" w:rsidRDefault="00CA62EE" w:rsidP="004803C8">
      <w:pPr>
        <w:spacing w:line="240" w:lineRule="auto"/>
        <w:jc w:val="both"/>
        <w:rPr>
          <w:rFonts w:ascii="Arial CE" w:hAnsi="Arial CE" w:cs="Arial"/>
        </w:rPr>
      </w:pPr>
      <w:r w:rsidRPr="00CA62EE">
        <w:rPr>
          <w:rFonts w:ascii="Arial CE" w:hAnsi="Arial CE" w:cs="Arial"/>
        </w:rPr>
        <w:t>MXWD(</w:t>
      </w:r>
      <w:proofErr w:type="spellStart"/>
      <w:r w:rsidRPr="00CA62EE">
        <w:rPr>
          <w:rFonts w:ascii="Arial CE" w:hAnsi="Arial CE" w:cs="Arial"/>
        </w:rPr>
        <w:t>Δt</w:t>
      </w:r>
      <w:proofErr w:type="spellEnd"/>
      <w:r w:rsidRPr="00CA62EE">
        <w:rPr>
          <w:rFonts w:ascii="Arial CE" w:hAnsi="Arial CE" w:cs="Arial"/>
        </w:rPr>
        <w:t xml:space="preserve">) = výkonnost indexu světových akcií </w:t>
      </w:r>
      <w:r w:rsidRPr="004C3F34">
        <w:rPr>
          <w:rFonts w:ascii="Arial CE" w:hAnsi="Arial CE" w:cs="Arial"/>
          <w:i/>
        </w:rPr>
        <w:t xml:space="preserve">MSCI </w:t>
      </w:r>
      <w:proofErr w:type="spellStart"/>
      <w:r w:rsidRPr="004C3F34">
        <w:rPr>
          <w:rFonts w:ascii="Arial CE" w:hAnsi="Arial CE" w:cs="Arial"/>
          <w:i/>
        </w:rPr>
        <w:t>World</w:t>
      </w:r>
      <w:proofErr w:type="spellEnd"/>
      <w:r w:rsidRPr="004C3F34">
        <w:rPr>
          <w:rFonts w:ascii="Arial CE" w:hAnsi="Arial CE" w:cs="Arial"/>
          <w:i/>
        </w:rPr>
        <w:t xml:space="preserve"> Index</w:t>
      </w:r>
      <w:r w:rsidRPr="00CA62EE">
        <w:rPr>
          <w:rFonts w:ascii="Arial CE" w:hAnsi="Arial CE" w:cs="Arial"/>
        </w:rPr>
        <w:t xml:space="preserve"> ve sledovaném období (</w:t>
      </w:r>
      <w:proofErr w:type="spellStart"/>
      <w:r w:rsidRPr="00CA62EE">
        <w:rPr>
          <w:rFonts w:ascii="Arial CE" w:hAnsi="Arial CE" w:cs="Arial"/>
        </w:rPr>
        <w:t>Bloomberg</w:t>
      </w:r>
      <w:proofErr w:type="spellEnd"/>
      <w:r w:rsidRPr="00CA62EE">
        <w:rPr>
          <w:rFonts w:ascii="Arial CE" w:hAnsi="Arial CE" w:cs="Arial"/>
        </w:rPr>
        <w:t>);</w:t>
      </w:r>
    </w:p>
    <w:p w:rsidR="00CA62EE" w:rsidRPr="00CA62EE" w:rsidRDefault="00CA62EE" w:rsidP="004803C8">
      <w:pPr>
        <w:spacing w:line="240" w:lineRule="auto"/>
        <w:jc w:val="both"/>
        <w:rPr>
          <w:rFonts w:ascii="Arial CE" w:hAnsi="Arial CE" w:cs="Arial"/>
        </w:rPr>
      </w:pPr>
      <w:r w:rsidRPr="00CA62EE">
        <w:rPr>
          <w:rFonts w:ascii="Arial CE" w:hAnsi="Arial CE" w:cs="Arial"/>
        </w:rPr>
        <w:t>REICO(</w:t>
      </w:r>
      <w:proofErr w:type="spellStart"/>
      <w:r w:rsidRPr="00CA62EE">
        <w:rPr>
          <w:rFonts w:ascii="Arial CE" w:hAnsi="Arial CE" w:cs="Arial"/>
        </w:rPr>
        <w:t>Δt</w:t>
      </w:r>
      <w:proofErr w:type="spellEnd"/>
      <w:r w:rsidRPr="00CA62EE">
        <w:rPr>
          <w:rFonts w:ascii="Arial CE" w:hAnsi="Arial CE" w:cs="Arial"/>
        </w:rPr>
        <w:t>) = vývoj ceny podílových listů fondu ČS nemovitostní fond REICO za sledované období</w:t>
      </w:r>
      <w:r>
        <w:rPr>
          <w:rFonts w:ascii="Arial CE" w:hAnsi="Arial CE" w:cs="Arial"/>
        </w:rPr>
        <w:t>,</w:t>
      </w:r>
    </w:p>
    <w:p w:rsidR="00CA62EE" w:rsidRPr="00CA62EE" w:rsidRDefault="00CA62EE" w:rsidP="004803C8">
      <w:pPr>
        <w:spacing w:line="240" w:lineRule="auto"/>
        <w:jc w:val="both"/>
        <w:rPr>
          <w:rFonts w:ascii="Arial CE" w:hAnsi="Arial CE" w:cs="Arial"/>
        </w:rPr>
      </w:pPr>
      <w:r w:rsidRPr="00CA62EE">
        <w:rPr>
          <w:rFonts w:ascii="Arial CE" w:hAnsi="Arial CE" w:cs="Arial"/>
        </w:rPr>
        <w:t>LYXRHFI(</w:t>
      </w:r>
      <w:proofErr w:type="spellStart"/>
      <w:r w:rsidRPr="00CA62EE">
        <w:rPr>
          <w:rFonts w:ascii="Arial CE" w:hAnsi="Arial CE" w:cs="Arial"/>
        </w:rPr>
        <w:t>Δt</w:t>
      </w:r>
      <w:proofErr w:type="spellEnd"/>
      <w:r w:rsidRPr="00CA62EE">
        <w:rPr>
          <w:rFonts w:ascii="Arial CE" w:hAnsi="Arial CE" w:cs="Arial"/>
        </w:rPr>
        <w:t xml:space="preserve">) = výkonnost indexu, který sleduje agregovanou výnosnost širokého spektra </w:t>
      </w:r>
      <w:proofErr w:type="spellStart"/>
      <w:r w:rsidRPr="00CA62EE">
        <w:rPr>
          <w:rFonts w:ascii="Arial CE" w:hAnsi="Arial CE" w:cs="Arial"/>
        </w:rPr>
        <w:t>hedge</w:t>
      </w:r>
      <w:proofErr w:type="spellEnd"/>
      <w:r w:rsidRPr="00CA62EE">
        <w:rPr>
          <w:rFonts w:ascii="Arial CE" w:hAnsi="Arial CE" w:cs="Arial"/>
        </w:rPr>
        <w:t xml:space="preserve"> fondů s</w:t>
      </w:r>
      <w:r>
        <w:rPr>
          <w:rFonts w:ascii="Arial CE" w:hAnsi="Arial CE" w:cs="Arial" w:hint="eastAsia"/>
        </w:rPr>
        <w:t> </w:t>
      </w:r>
      <w:r w:rsidRPr="00CA62EE">
        <w:rPr>
          <w:rFonts w:ascii="Arial CE" w:hAnsi="Arial CE" w:cs="Arial"/>
        </w:rPr>
        <w:t>diverzifikovanými</w:t>
      </w:r>
      <w:r>
        <w:rPr>
          <w:rFonts w:ascii="Arial CE" w:hAnsi="Arial CE" w:cs="Arial"/>
        </w:rPr>
        <w:t xml:space="preserve"> </w:t>
      </w:r>
      <w:r w:rsidRPr="00CA62EE">
        <w:rPr>
          <w:rFonts w:ascii="Arial CE" w:hAnsi="Arial CE" w:cs="Arial"/>
        </w:rPr>
        <w:t>strategiemi (</w:t>
      </w:r>
      <w:proofErr w:type="spellStart"/>
      <w:r w:rsidRPr="00CA62EE">
        <w:rPr>
          <w:rFonts w:ascii="Arial CE" w:hAnsi="Arial CE" w:cs="Arial"/>
        </w:rPr>
        <w:t>Bloomberg</w:t>
      </w:r>
      <w:proofErr w:type="spellEnd"/>
      <w:r w:rsidRPr="00CA62EE">
        <w:rPr>
          <w:rFonts w:ascii="Arial CE" w:hAnsi="Arial CE" w:cs="Arial"/>
        </w:rPr>
        <w:t>);</w:t>
      </w:r>
    </w:p>
    <w:p w:rsidR="004803C8" w:rsidRDefault="00CA62EE" w:rsidP="004803C8">
      <w:pPr>
        <w:spacing w:line="240" w:lineRule="auto"/>
        <w:jc w:val="both"/>
        <w:rPr>
          <w:rFonts w:ascii="Arial CE" w:hAnsi="Arial CE" w:cs="Arial"/>
        </w:rPr>
      </w:pPr>
      <w:proofErr w:type="spellStart"/>
      <w:r w:rsidRPr="00CA62EE">
        <w:rPr>
          <w:rFonts w:ascii="Arial CE" w:hAnsi="Arial CE" w:cs="Arial"/>
        </w:rPr>
        <w:t>Δt</w:t>
      </w:r>
      <w:proofErr w:type="spellEnd"/>
      <w:r w:rsidRPr="00CA62EE">
        <w:rPr>
          <w:rFonts w:ascii="Arial CE" w:hAnsi="Arial CE" w:cs="Arial"/>
        </w:rPr>
        <w:t xml:space="preserve"> = t-t</w:t>
      </w:r>
      <w:r w:rsidRPr="0012799C">
        <w:rPr>
          <w:rFonts w:ascii="Arial CE" w:hAnsi="Arial CE" w:cs="Arial"/>
          <w:vertAlign w:val="subscript"/>
        </w:rPr>
        <w:t>0</w:t>
      </w:r>
      <w:r w:rsidRPr="00CA62EE">
        <w:rPr>
          <w:rFonts w:ascii="Arial CE" w:hAnsi="Arial CE" w:cs="Arial"/>
        </w:rPr>
        <w:t xml:space="preserve"> = sledované období, kde </w:t>
      </w:r>
      <w:r w:rsidRPr="00EF69DA">
        <w:rPr>
          <w:rFonts w:ascii="Arial CE" w:hAnsi="Arial CE" w:cs="Arial"/>
          <w:i/>
        </w:rPr>
        <w:t>t</w:t>
      </w:r>
      <w:r w:rsidRPr="00EF69DA">
        <w:rPr>
          <w:rFonts w:ascii="Arial CE" w:hAnsi="Arial CE" w:cs="Arial"/>
          <w:i/>
          <w:vertAlign w:val="subscript"/>
        </w:rPr>
        <w:t>0</w:t>
      </w:r>
      <w:r w:rsidRPr="00CA62EE">
        <w:rPr>
          <w:rFonts w:ascii="Arial CE" w:hAnsi="Arial CE" w:cs="Arial"/>
        </w:rPr>
        <w:t xml:space="preserve"> je počátek a </w:t>
      </w:r>
      <w:r w:rsidRPr="00EF69DA">
        <w:rPr>
          <w:rFonts w:ascii="Arial CE" w:hAnsi="Arial CE" w:cs="Arial"/>
          <w:i/>
        </w:rPr>
        <w:t xml:space="preserve">t </w:t>
      </w:r>
      <w:r w:rsidRPr="00CA62EE">
        <w:rPr>
          <w:rFonts w:ascii="Arial CE" w:hAnsi="Arial CE" w:cs="Arial"/>
        </w:rPr>
        <w:t>je konec sledovaného období.</w:t>
      </w:r>
    </w:p>
    <w:p w:rsidR="002C657A" w:rsidRDefault="002C657A" w:rsidP="004803C8">
      <w:pPr>
        <w:spacing w:line="240" w:lineRule="auto"/>
        <w:jc w:val="both"/>
        <w:rPr>
          <w:rFonts w:ascii="Arial CE" w:hAnsi="Arial CE" w:cs="Arial"/>
        </w:rPr>
      </w:pPr>
    </w:p>
    <w:p w:rsidR="00CA62EE" w:rsidRDefault="00CA62EE" w:rsidP="004803C8">
      <w:pPr>
        <w:spacing w:line="240" w:lineRule="auto"/>
        <w:jc w:val="both"/>
        <w:rPr>
          <w:rFonts w:ascii="Arial CE" w:hAnsi="Arial CE" w:cs="Arial"/>
        </w:rPr>
      </w:pPr>
      <w:r w:rsidRPr="00CA62EE">
        <w:rPr>
          <w:rFonts w:ascii="Arial CE" w:hAnsi="Arial CE" w:cs="Arial"/>
        </w:rPr>
        <w:t xml:space="preserve">Tento Dodatek číslo 5 ke Smlouvě o obhospodařování cenných papírů nabývá účinnosti dnem jeho podpisu poslední ze smluvních stran. Úprava srovnávacího etalonu </w:t>
      </w:r>
      <w:r w:rsidRPr="00FB1B45">
        <w:rPr>
          <w:rFonts w:ascii="Arial CE" w:hAnsi="Arial CE" w:cs="Arial"/>
        </w:rPr>
        <w:t xml:space="preserve">(benchmark) </w:t>
      </w:r>
      <w:r w:rsidR="00730ABE">
        <w:rPr>
          <w:rFonts w:ascii="Arial CE" w:hAnsi="Arial CE" w:cs="Arial"/>
        </w:rPr>
        <w:br/>
      </w:r>
      <w:r w:rsidRPr="00FB1B45">
        <w:rPr>
          <w:rFonts w:ascii="Arial CE" w:hAnsi="Arial CE" w:cs="Arial"/>
        </w:rPr>
        <w:t>je účinná od 1.6.2017.</w:t>
      </w:r>
      <w:r w:rsidRPr="00CA62EE">
        <w:rPr>
          <w:rFonts w:ascii="Arial CE" w:hAnsi="Arial CE" w:cs="Arial"/>
        </w:rPr>
        <w:t xml:space="preserve"> </w:t>
      </w:r>
    </w:p>
    <w:p w:rsidR="0030034F" w:rsidRDefault="0030034F" w:rsidP="004803C8">
      <w:pPr>
        <w:spacing w:line="240" w:lineRule="auto"/>
        <w:jc w:val="both"/>
        <w:rPr>
          <w:rFonts w:ascii="Arial CE" w:hAnsi="Arial CE" w:cs="Arial"/>
        </w:rPr>
      </w:pPr>
    </w:p>
    <w:p w:rsidR="0030034F" w:rsidRDefault="0030034F" w:rsidP="0030034F">
      <w:pPr>
        <w:jc w:val="both"/>
      </w:pPr>
      <w:r>
        <w:rPr>
          <w:b/>
          <w:u w:val="single"/>
        </w:rPr>
        <w:t>Finanční výbor ZMČ Praha 8 doporu</w:t>
      </w:r>
      <w:r>
        <w:rPr>
          <w:b/>
          <w:u w:val="single"/>
        </w:rPr>
        <w:t>čil Dodatek č. 5 ke schválení ZMČ</w:t>
      </w:r>
      <w:r>
        <w:rPr>
          <w:b/>
          <w:u w:val="single"/>
        </w:rPr>
        <w:t xml:space="preserve"> na svém</w:t>
      </w:r>
      <w:r>
        <w:rPr>
          <w:b/>
          <w:u w:val="single"/>
        </w:rPr>
        <w:t xml:space="preserve"> 5. zasedá</w:t>
      </w:r>
      <w:r w:rsidR="00BB25D0">
        <w:rPr>
          <w:b/>
          <w:u w:val="single"/>
        </w:rPr>
        <w:t>ní</w:t>
      </w:r>
      <w:bookmarkStart w:id="0" w:name="_GoBack"/>
      <w:bookmarkEnd w:id="0"/>
      <w:r>
        <w:rPr>
          <w:b/>
          <w:u w:val="single"/>
        </w:rPr>
        <w:t xml:space="preserve"> dne </w:t>
      </w:r>
      <w:r>
        <w:rPr>
          <w:b/>
          <w:u w:val="single"/>
        </w:rPr>
        <w:br/>
        <w:t>14</w:t>
      </w:r>
      <w:r>
        <w:rPr>
          <w:b/>
          <w:u w:val="single"/>
        </w:rPr>
        <w:t>. srpna 2017</w:t>
      </w:r>
      <w:r>
        <w:t>.</w:t>
      </w:r>
    </w:p>
    <w:p w:rsidR="0030034F" w:rsidRPr="00CA62EE" w:rsidRDefault="0030034F" w:rsidP="004803C8">
      <w:pPr>
        <w:spacing w:line="240" w:lineRule="auto"/>
        <w:jc w:val="both"/>
        <w:rPr>
          <w:rFonts w:ascii="Arial CE" w:hAnsi="Arial CE" w:cs="Arial"/>
        </w:rPr>
      </w:pPr>
    </w:p>
    <w:sectPr w:rsidR="0030034F" w:rsidRPr="00CA62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2EE"/>
    <w:rsid w:val="0012799C"/>
    <w:rsid w:val="002C657A"/>
    <w:rsid w:val="0030034F"/>
    <w:rsid w:val="00381062"/>
    <w:rsid w:val="003C7156"/>
    <w:rsid w:val="0042211E"/>
    <w:rsid w:val="004803C8"/>
    <w:rsid w:val="00494C58"/>
    <w:rsid w:val="004C3F34"/>
    <w:rsid w:val="00682A50"/>
    <w:rsid w:val="00730ABE"/>
    <w:rsid w:val="009F4FBA"/>
    <w:rsid w:val="00BB25D0"/>
    <w:rsid w:val="00C322C0"/>
    <w:rsid w:val="00CA62EE"/>
    <w:rsid w:val="00CE1BAC"/>
    <w:rsid w:val="00EF69DA"/>
    <w:rsid w:val="00F61A43"/>
    <w:rsid w:val="00F75822"/>
    <w:rsid w:val="00FB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7F3B5"/>
  <w15:chartTrackingRefBased/>
  <w15:docId w15:val="{9DDDAC7D-C365-4C5F-9F66-4808CEB3E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37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193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 Řechtáčková</dc:creator>
  <cp:keywords/>
  <dc:description/>
  <cp:lastModifiedBy>Lucie Hánová</cp:lastModifiedBy>
  <cp:revision>5</cp:revision>
  <dcterms:created xsi:type="dcterms:W3CDTF">2017-09-01T11:48:00Z</dcterms:created>
  <dcterms:modified xsi:type="dcterms:W3CDTF">2017-09-01T11:51:00Z</dcterms:modified>
</cp:coreProperties>
</file>