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5A785" w14:textId="20C85665" w:rsidR="00AF378C" w:rsidRPr="004273DC" w:rsidRDefault="00AF378C" w:rsidP="00AF378C">
      <w:pPr>
        <w:pStyle w:val="ProstText"/>
        <w:jc w:val="center"/>
        <w:outlineLvl w:val="9"/>
        <w:rPr>
          <w:b/>
          <w:u w:val="single"/>
        </w:rPr>
      </w:pPr>
      <w:r w:rsidRPr="004273DC">
        <w:rPr>
          <w:b/>
          <w:u w:val="single"/>
        </w:rPr>
        <w:t>DŮVODOVÁ ZPRÁVA</w:t>
      </w:r>
    </w:p>
    <w:p w14:paraId="0DF1053B" w14:textId="7AE70065" w:rsidR="000D4CA8" w:rsidRPr="004273DC" w:rsidRDefault="00AF378C" w:rsidP="00AF378C">
      <w:pPr>
        <w:pStyle w:val="ProstText"/>
        <w:outlineLvl w:val="9"/>
      </w:pPr>
      <w:r w:rsidRPr="004273DC">
        <w:t xml:space="preserve">k návrhu </w:t>
      </w:r>
      <w:r w:rsidR="008C00B1">
        <w:t xml:space="preserve">schválení </w:t>
      </w:r>
      <w:r w:rsidRPr="004273DC">
        <w:t>dalšího postupu ve věci dostavby budovy "Nová Palmovka" a vypořádání a narovnání vztahů.</w:t>
      </w:r>
      <w:r w:rsidR="00AB7171" w:rsidRPr="004273DC">
        <w:rPr>
          <w:vanish/>
        </w:rPr>
        <w:t>výchoz</w:t>
      </w:r>
    </w:p>
    <w:p w14:paraId="56B49F67" w14:textId="054D7A8D" w:rsidR="00C65B87" w:rsidRPr="004273DC" w:rsidRDefault="00C65B87" w:rsidP="00C65B87">
      <w:pPr>
        <w:pStyle w:val="Nadpis1"/>
      </w:pPr>
      <w:r w:rsidRPr="004273DC">
        <w:t>právní rámec</w:t>
      </w:r>
    </w:p>
    <w:p w14:paraId="14816F96" w14:textId="0EFE5D89" w:rsidR="00C65B87" w:rsidRPr="004273DC" w:rsidRDefault="00C65B87" w:rsidP="00C65B87">
      <w:pPr>
        <w:pStyle w:val="Nadpis2"/>
      </w:pPr>
      <w:r w:rsidRPr="004273DC">
        <w:t>Na vztah</w:t>
      </w:r>
      <w:r w:rsidR="007A1F73" w:rsidRPr="004273DC">
        <w:t>y</w:t>
      </w:r>
      <w:r w:rsidRPr="004273DC">
        <w:t xml:space="preserve"> uvedené v této důvodové zpráv</w:t>
      </w:r>
      <w:r w:rsidR="007A1F73" w:rsidRPr="004273DC">
        <w:t>ě</w:t>
      </w:r>
      <w:r w:rsidRPr="004273DC">
        <w:t xml:space="preserve"> se </w:t>
      </w:r>
      <w:r w:rsidR="00D10020" w:rsidRPr="004273DC">
        <w:t>použijí</w:t>
      </w:r>
      <w:r w:rsidRPr="004273DC">
        <w:t xml:space="preserve"> zejména následující právní předpisy:</w:t>
      </w:r>
    </w:p>
    <w:p w14:paraId="7920D83D" w14:textId="38AB042E" w:rsidR="00C65B87" w:rsidRPr="004273DC" w:rsidRDefault="00C65B87" w:rsidP="00C65B87">
      <w:pPr>
        <w:pStyle w:val="Nadpis3"/>
      </w:pPr>
      <w:r w:rsidRPr="004273DC">
        <w:t>zákon č. 131/2000 Sb., o hlavním městě Praze, v platném znění</w:t>
      </w:r>
      <w:r w:rsidR="00096E02" w:rsidRPr="004273DC">
        <w:t xml:space="preserve"> (dále jen "</w:t>
      </w:r>
      <w:r w:rsidR="00096E02" w:rsidRPr="004273DC">
        <w:rPr>
          <w:b/>
        </w:rPr>
        <w:t>Zákon o Hlavním městě Praze</w:t>
      </w:r>
      <w:r w:rsidR="00096E02" w:rsidRPr="004273DC">
        <w:t>");</w:t>
      </w:r>
    </w:p>
    <w:p w14:paraId="728845BE" w14:textId="51BDEB93" w:rsidR="00C65B87" w:rsidRPr="004273DC" w:rsidRDefault="00C65B87" w:rsidP="00C65B87">
      <w:pPr>
        <w:pStyle w:val="Nadpis3"/>
      </w:pPr>
      <w:r w:rsidRPr="004273DC">
        <w:t>obecně závazná vyhláška hlavního města Prahy č. 55/2000 Sb. hl. m. Prahy, kterou se vydává Statut hlavního města Prahy, v platném znění</w:t>
      </w:r>
      <w:r w:rsidR="00096E02" w:rsidRPr="004273DC">
        <w:t xml:space="preserve"> (dále jen "</w:t>
      </w:r>
      <w:r w:rsidR="00096E02" w:rsidRPr="004273DC">
        <w:rPr>
          <w:b/>
        </w:rPr>
        <w:t>Statut</w:t>
      </w:r>
      <w:r w:rsidR="00096E02" w:rsidRPr="004273DC">
        <w:t>");</w:t>
      </w:r>
    </w:p>
    <w:p w14:paraId="669E1683" w14:textId="1996DCAB" w:rsidR="00096E02" w:rsidRPr="004273DC" w:rsidRDefault="00C65B87" w:rsidP="00C65B87">
      <w:pPr>
        <w:pStyle w:val="Nadpis3"/>
      </w:pPr>
      <w:r w:rsidRPr="004273DC">
        <w:t>zákon č. 134/2016 Sb., o zadávání veřejných zakázek, v platném znění</w:t>
      </w:r>
      <w:r w:rsidR="00096E02" w:rsidRPr="004273DC">
        <w:t xml:space="preserve"> (dále jen "</w:t>
      </w:r>
      <w:r w:rsidR="00096E02" w:rsidRPr="004273DC">
        <w:rPr>
          <w:b/>
        </w:rPr>
        <w:t>Zákon o zadávání veřejných zakázek</w:t>
      </w:r>
      <w:r w:rsidR="00096E02" w:rsidRPr="004273DC">
        <w:t xml:space="preserve">"); a </w:t>
      </w:r>
    </w:p>
    <w:p w14:paraId="0BC97B6C" w14:textId="6F43162C" w:rsidR="00C65B87" w:rsidRPr="004273DC" w:rsidRDefault="00096E02" w:rsidP="00C65B87">
      <w:pPr>
        <w:pStyle w:val="Nadpis3"/>
      </w:pPr>
      <w:r w:rsidRPr="004273DC">
        <w:t>zákon č. 89/2012 Sb., občanský zákoník, v platném znění (dále jen "</w:t>
      </w:r>
      <w:r w:rsidRPr="004273DC">
        <w:rPr>
          <w:b/>
        </w:rPr>
        <w:t>Občanský zákoník</w:t>
      </w:r>
      <w:r w:rsidRPr="004273DC">
        <w:t>").</w:t>
      </w:r>
    </w:p>
    <w:p w14:paraId="04E367D2" w14:textId="77777777" w:rsidR="00C65B87" w:rsidRPr="004273DC" w:rsidRDefault="00C65B87" w:rsidP="00AB7171">
      <w:pPr>
        <w:spacing w:after="0"/>
        <w:ind w:left="0"/>
        <w:rPr>
          <w:vanish/>
        </w:rPr>
      </w:pPr>
    </w:p>
    <w:p w14:paraId="4D016FD5" w14:textId="77777777" w:rsidR="00335CCE" w:rsidRPr="004273DC" w:rsidRDefault="00335CCE" w:rsidP="00335CCE">
      <w:pPr>
        <w:pStyle w:val="Nadpis1"/>
      </w:pPr>
      <w:bookmarkStart w:id="0" w:name="_Ref468695756"/>
      <w:bookmarkStart w:id="1" w:name="_Ref486594666"/>
      <w:bookmarkStart w:id="2" w:name="_Toc506911618"/>
      <w:bookmarkStart w:id="3" w:name="_Toc273963610"/>
      <w:bookmarkStart w:id="4" w:name="_Toc506456371"/>
      <w:r w:rsidRPr="004273DC">
        <w:t>Výchozí stav</w:t>
      </w:r>
    </w:p>
    <w:p w14:paraId="4B2C2F85" w14:textId="77777777" w:rsidR="00335CCE" w:rsidRPr="004273DC" w:rsidRDefault="00335CCE" w:rsidP="00335CCE">
      <w:pPr>
        <w:pStyle w:val="Nadpis2"/>
        <w:numPr>
          <w:ilvl w:val="0"/>
          <w:numId w:val="0"/>
        </w:numPr>
        <w:rPr>
          <w:b/>
        </w:rPr>
      </w:pPr>
      <w:r w:rsidRPr="004273DC">
        <w:rPr>
          <w:b/>
        </w:rPr>
        <w:t>Historie smluvního vztahu</w:t>
      </w:r>
    </w:p>
    <w:p w14:paraId="7927E5CB" w14:textId="77777777" w:rsidR="00335CCE" w:rsidRPr="004273DC" w:rsidRDefault="00335CCE" w:rsidP="00335CCE">
      <w:pPr>
        <w:pStyle w:val="Nadpis2"/>
      </w:pPr>
      <w:r w:rsidRPr="004273DC">
        <w:t>Městská část Praha 8, se sídlem Zenklova 1/35, Praha 8 - Libeň, PSČ 180 00, identifikační číslo osoby 000 63 797  (dále jen "</w:t>
      </w:r>
      <w:r w:rsidRPr="004273DC">
        <w:rPr>
          <w:b/>
        </w:rPr>
        <w:t>Městská část Praha 8</w:t>
      </w:r>
      <w:r w:rsidRPr="004273DC">
        <w:t>") jako původní objednatel a Metrostav Development a.s., společnost založená a existující podle práva České republiky, se sídlem Koželužská 2450/4, Praha 8 - Libeň, PSČ 180 00, identifikační číslo osoby 284</w:t>
      </w:r>
      <w:r>
        <w:t> </w:t>
      </w:r>
      <w:r w:rsidRPr="004273DC">
        <w:t>40 412, zapsaná v obchodním rejstříku vedeném Městským soudem v Praze, spisová značka B 14524 (dále jen "</w:t>
      </w:r>
      <w:r w:rsidRPr="004273DC">
        <w:rPr>
          <w:b/>
        </w:rPr>
        <w:t>Metrostav Development</w:t>
      </w:r>
      <w:r w:rsidRPr="004273DC">
        <w:t>") jako původní poskytovatel uzavřely dne 15. října 2010 smlouvu o výstavbě a poskytování služeb (dále jen "</w:t>
      </w:r>
      <w:r w:rsidRPr="004273DC">
        <w:rPr>
          <w:b/>
        </w:rPr>
        <w:t>Smlouva o výstavbě</w:t>
      </w:r>
      <w:r w:rsidRPr="004273DC">
        <w:t>"), na základě které se Metrostav Development zavázal (i) zhotovit polyfunkční budovu "</w:t>
      </w:r>
      <w:r w:rsidRPr="004273DC">
        <w:rPr>
          <w:caps/>
        </w:rPr>
        <w:t>Nová Palmovka</w:t>
      </w:r>
      <w:r w:rsidRPr="004273DC">
        <w:t>", jejíž výstavba byla povolena na základě stavebního povolení vydaného úřadem Městské části Praha 8, odborem výstavby pod číslem jednacím MCP8 005299/2014 ze dne 21. ledna 2014 (dále jen "</w:t>
      </w:r>
      <w:r w:rsidRPr="004273DC">
        <w:rPr>
          <w:b/>
        </w:rPr>
        <w:t>Budova</w:t>
      </w:r>
      <w:r w:rsidRPr="004273DC">
        <w:t>")</w:t>
      </w:r>
      <w:bookmarkEnd w:id="0"/>
      <w:r w:rsidRPr="004273DC">
        <w:t xml:space="preserve"> a (</w:t>
      </w:r>
      <w:proofErr w:type="spellStart"/>
      <w:r w:rsidRPr="004273DC">
        <w:t>ii</w:t>
      </w:r>
      <w:proofErr w:type="spellEnd"/>
      <w:r w:rsidRPr="004273DC">
        <w:t>) poskytovat určité služby související s výstavbou a provozem Budovy. Smlouva o výstavbě byla uzavřena v návaznosti na uskutečněné zadávací řízení vyhlášené Městskou částí Praha 8.</w:t>
      </w:r>
      <w:bookmarkEnd w:id="1"/>
      <w:r w:rsidRPr="004273DC">
        <w:t xml:space="preserve"> </w:t>
      </w:r>
    </w:p>
    <w:p w14:paraId="0AA78CD8" w14:textId="77777777" w:rsidR="00335CCE" w:rsidRPr="004273DC" w:rsidRDefault="00335CCE" w:rsidP="00335CCE">
      <w:pPr>
        <w:pStyle w:val="Nadpis2"/>
      </w:pPr>
      <w:r w:rsidRPr="004273DC">
        <w:t xml:space="preserve">Budova měla sloužit, mimo jiné, jako nové sídlo radnice Městské části Prahy 8, a ve zbytku jako prostory pro komerční pronájem. </w:t>
      </w:r>
    </w:p>
    <w:p w14:paraId="58D2E3C1" w14:textId="77777777" w:rsidR="00335CCE" w:rsidRPr="004273DC" w:rsidRDefault="00335CCE" w:rsidP="00335CCE">
      <w:pPr>
        <w:pStyle w:val="Nadpis2"/>
      </w:pPr>
      <w:bookmarkStart w:id="5" w:name="_Ref486594704"/>
      <w:r w:rsidRPr="004273DC">
        <w:t xml:space="preserve">Budova se nachází na pozemcích </w:t>
      </w:r>
      <w:proofErr w:type="spellStart"/>
      <w:r w:rsidRPr="004273DC">
        <w:t>parc</w:t>
      </w:r>
      <w:proofErr w:type="spellEnd"/>
      <w:r w:rsidRPr="004273DC">
        <w:t xml:space="preserve">. č. 4014/2 a </w:t>
      </w:r>
      <w:proofErr w:type="spellStart"/>
      <w:r w:rsidRPr="004273DC">
        <w:t>parc</w:t>
      </w:r>
      <w:proofErr w:type="spellEnd"/>
      <w:r w:rsidRPr="004273DC">
        <w:t>. č. 4014/7 v katastrálním území Libeň, obec Praha, zapsaných na listu vlastnictví č. 1711 v katastru nemovitostí vedeném Katastrálním úřadem pro hlavní město Prahu, Katastrální pracoviště Praha (dále jen "</w:t>
      </w:r>
      <w:r w:rsidRPr="004273DC">
        <w:rPr>
          <w:b/>
        </w:rPr>
        <w:t>Pozemky</w:t>
      </w:r>
      <w:r w:rsidRPr="004273DC">
        <w:t>"). Pozemky jsou ve vlastnictví hlavního města Prahy, se sídlem Mariánské náměstí 2, Praha 1, PSČ 110 01, identifikační číslo osoby 000 64 581 (dále jen "</w:t>
      </w:r>
      <w:r w:rsidRPr="004273DC">
        <w:rPr>
          <w:b/>
        </w:rPr>
        <w:t>Hlavní město Praha</w:t>
      </w:r>
      <w:r w:rsidRPr="004273DC">
        <w:t>") a byly svěřeny jako majetek ve vlastnictví Hlavního města Prahy do správy Městské části Praha 8, a to již k okamžiku uzavření Smlouvy o výstavbě.</w:t>
      </w:r>
      <w:bookmarkEnd w:id="5"/>
      <w:r w:rsidRPr="004273DC">
        <w:t xml:space="preserve">  </w:t>
      </w:r>
    </w:p>
    <w:p w14:paraId="2D78402D" w14:textId="77777777" w:rsidR="00335CCE" w:rsidRPr="004273DC" w:rsidRDefault="00335CCE" w:rsidP="00335CCE">
      <w:pPr>
        <w:pStyle w:val="Nadpis2"/>
      </w:pPr>
      <w:r w:rsidRPr="004273DC">
        <w:lastRenderedPageBreak/>
        <w:t xml:space="preserve">Na straně poskytovatele i objednatele podle Smlouvy o výstavbě došlo ke změně subjektů, stranami Smlouvy o výstavbě již nejsou Městská část Praha 8, ani Metrostav Development, neboť: </w:t>
      </w:r>
    </w:p>
    <w:p w14:paraId="7942C8C0" w14:textId="77777777" w:rsidR="00335CCE" w:rsidRPr="004273DC" w:rsidRDefault="00335CCE" w:rsidP="00335CCE">
      <w:pPr>
        <w:pStyle w:val="Nadpis3"/>
      </w:pPr>
      <w:r w:rsidRPr="004273DC">
        <w:t>Městská část Praha 8 a Centrum Palmovka uzavřely dne 25. října 2011, tj. ještě před zahájením výstavby Budovy, smlouvu o postoupení pohledávek a převzetí závazků, jejímž předmětem bylo postoupení veškerých práv a převod veškerých povinností ze Smlouvy o výstavbě z Městské části Praha 8 na Centrum Palmovka;</w:t>
      </w:r>
      <w:r>
        <w:t xml:space="preserve"> v důsledku postoupení se tak Centrum Palmovka stala stranou Smlouvy o výstavbě</w:t>
      </w:r>
      <w:r w:rsidRPr="004273DC">
        <w:t xml:space="preserve">; a </w:t>
      </w:r>
    </w:p>
    <w:p w14:paraId="121C55C1" w14:textId="77777777" w:rsidR="00335CCE" w:rsidRPr="004273DC" w:rsidRDefault="00335CCE" w:rsidP="00335CCE">
      <w:pPr>
        <w:pStyle w:val="Nadpis3"/>
      </w:pPr>
      <w:bookmarkStart w:id="6" w:name="_Ref506911390"/>
      <w:r w:rsidRPr="004273DC">
        <w:t>dne 18. října 2010 uzavřely Metrostav Development a Metrostav Alfa s.r.o., společnost založená a existující podle práva České republiky, se sídlem Koželužská 2450/4, Praha 8 - Libeň, PSČ 180 00, identifikační číslo osoby 267</w:t>
      </w:r>
      <w:r>
        <w:t> </w:t>
      </w:r>
      <w:r w:rsidRPr="004273DC">
        <w:t>23 361, zapsaná v obchodním rejstříku vedeném Městským soudem v Praze, spisová značka C 89654 (dále jen "</w:t>
      </w:r>
      <w:r w:rsidRPr="004273DC">
        <w:rPr>
          <w:b/>
        </w:rPr>
        <w:t>Metrostav Alfa</w:t>
      </w:r>
      <w:r w:rsidRPr="004273DC">
        <w:t>") smlouvu o převodu práv a povinností, jejímž předmětem byl převod veškerých práv a povinností Metrostav Development ze Smlouvy o výstavbě z Metrostav Development na Metrostav Alfa;</w:t>
      </w:r>
      <w:r w:rsidRPr="008C00B1">
        <w:t xml:space="preserve"> </w:t>
      </w:r>
      <w:r>
        <w:t>v důsledku postoupení se tak Metrostav Alfa stal stranou Smlouvy o výstavbě</w:t>
      </w:r>
      <w:r w:rsidRPr="004273DC">
        <w:t>.</w:t>
      </w:r>
      <w:bookmarkEnd w:id="6"/>
    </w:p>
    <w:p w14:paraId="64128515" w14:textId="77777777" w:rsidR="00335CCE" w:rsidRPr="004273DC" w:rsidRDefault="00335CCE" w:rsidP="00335CCE">
      <w:pPr>
        <w:pStyle w:val="Nadpis2"/>
      </w:pPr>
      <w:bookmarkStart w:id="7" w:name="_Ref494540395"/>
      <w:bookmarkStart w:id="8" w:name="_Ref494354858"/>
      <w:bookmarkStart w:id="9" w:name="_Ref493774599"/>
      <w:r w:rsidRPr="004273DC">
        <w:t>Dne 25. října 2011 uzavřela Městská část Praha 8 s Centrum Palmovka smlouvu o půjčce, ve znění dodatku č. 1 ze dne 30. prosince 2013 (dále jen "</w:t>
      </w:r>
      <w:r w:rsidRPr="004273DC">
        <w:rPr>
          <w:b/>
        </w:rPr>
        <w:t>Smlouva o půjčce</w:t>
      </w:r>
      <w:r w:rsidRPr="004273DC">
        <w:t>"), za účelem zajištění financování výstavby Budovy podle Smlouvy o výstavbě a souvisejících provozních potřeb Centrum Palmovka. Podle Smlouvy o půjčce byla Centrum Palmovka oprávněna bezúročně čerpat částku do celkové maximální výše 1.115.548.523,- Kč.</w:t>
      </w:r>
    </w:p>
    <w:p w14:paraId="35886AC5" w14:textId="77777777" w:rsidR="00335CCE" w:rsidRPr="004273DC" w:rsidRDefault="00335CCE" w:rsidP="00335CCE">
      <w:pPr>
        <w:pStyle w:val="Nadpis2"/>
      </w:pPr>
      <w:r w:rsidRPr="004273DC">
        <w:t xml:space="preserve">Centrum Palmovka uhradila v souvislosti s výstavbou Budovy Metrostav Alfa částku ve výši 527.988.541,48 </w:t>
      </w:r>
      <w:proofErr w:type="gramStart"/>
      <w:r w:rsidRPr="004273DC">
        <w:t>Kč  (</w:t>
      </w:r>
      <w:proofErr w:type="gramEnd"/>
      <w:r w:rsidRPr="004273DC">
        <w:t>dále jen "</w:t>
      </w:r>
      <w:r w:rsidRPr="004273DC">
        <w:rPr>
          <w:b/>
        </w:rPr>
        <w:t>Čerpaná částka 1</w:t>
      </w:r>
      <w:r w:rsidRPr="004273DC">
        <w:t>").</w:t>
      </w:r>
      <w:bookmarkStart w:id="10" w:name="_Ref487718282"/>
      <w:r w:rsidRPr="004273DC">
        <w:t xml:space="preserve"> Městská část Praha 8 dále uhradila Centrum Palmovka v souvislosti s provozem Centrum Palmovka částku ve výši 5.585.636,22 Kč (dále jen "</w:t>
      </w:r>
      <w:r w:rsidRPr="004273DC">
        <w:rPr>
          <w:b/>
        </w:rPr>
        <w:t>Čerpaná částka 2</w:t>
      </w:r>
      <w:r w:rsidRPr="004273DC">
        <w:t>") (Čerpaná částka 1 a Čerpaná částka 2 společně dále jen "</w:t>
      </w:r>
      <w:r w:rsidRPr="004273DC">
        <w:rPr>
          <w:b/>
        </w:rPr>
        <w:t>Celková</w:t>
      </w:r>
      <w:r w:rsidRPr="004273DC">
        <w:t xml:space="preserve"> </w:t>
      </w:r>
      <w:r w:rsidRPr="004273DC">
        <w:rPr>
          <w:b/>
        </w:rPr>
        <w:t>čerpaná částka</w:t>
      </w:r>
      <w:r w:rsidRPr="004273DC">
        <w:t>").</w:t>
      </w:r>
      <w:bookmarkEnd w:id="10"/>
    </w:p>
    <w:p w14:paraId="4D74CFDF" w14:textId="77777777" w:rsidR="00335CCE" w:rsidRPr="008C00B1" w:rsidRDefault="00335CCE" w:rsidP="00335CCE">
      <w:pPr>
        <w:pStyle w:val="Nadpis2"/>
        <w:numPr>
          <w:ilvl w:val="0"/>
          <w:numId w:val="0"/>
        </w:numPr>
        <w:rPr>
          <w:b/>
        </w:rPr>
      </w:pPr>
      <w:r w:rsidRPr="008C00B1">
        <w:rPr>
          <w:b/>
        </w:rPr>
        <w:t>Současný faktický stav</w:t>
      </w:r>
    </w:p>
    <w:p w14:paraId="155782B8" w14:textId="77777777" w:rsidR="00335CCE" w:rsidRPr="004273DC" w:rsidRDefault="00335CCE" w:rsidP="00335CCE">
      <w:pPr>
        <w:pStyle w:val="Nadpis2"/>
      </w:pPr>
      <w:r w:rsidRPr="004273DC">
        <w:t>Pozemky nejsou ve vlastnictví Centrum Palmovka, ani nikdy nebyly. Neexistuje jakýkoli vymahatelný právní titul Centrum Palmovka pro umístění Budovy na cizích pozemcích.</w:t>
      </w:r>
    </w:p>
    <w:p w14:paraId="593E851D" w14:textId="77777777" w:rsidR="00335CCE" w:rsidRPr="004273DC" w:rsidRDefault="00335CCE" w:rsidP="00335CCE">
      <w:pPr>
        <w:pStyle w:val="Nadpis2"/>
      </w:pPr>
      <w:r w:rsidRPr="004273DC">
        <w:t>Budova je ve stadiu rozestavěnosti.</w:t>
      </w:r>
    </w:p>
    <w:p w14:paraId="4E85932F" w14:textId="77777777" w:rsidR="00335CCE" w:rsidRPr="004273DC" w:rsidRDefault="00335CCE" w:rsidP="00335CCE">
      <w:pPr>
        <w:pStyle w:val="Nadpis2"/>
      </w:pPr>
      <w:r w:rsidRPr="004273DC">
        <w:t xml:space="preserve">Centrum Palmovka je stavebníkem a investorem Budovy </w:t>
      </w:r>
      <w:bookmarkStart w:id="11" w:name="_Ref503191722"/>
      <w:r w:rsidRPr="004273DC">
        <w:t>a je oprávněným subjektem z rozhodnutí a souvisejících rozhodnutí</w:t>
      </w:r>
      <w:bookmarkEnd w:id="11"/>
      <w:r w:rsidRPr="004273DC">
        <w:t xml:space="preserve">. </w:t>
      </w:r>
    </w:p>
    <w:bookmarkEnd w:id="7"/>
    <w:p w14:paraId="67C49CE3" w14:textId="77777777" w:rsidR="00FE735E" w:rsidRDefault="00FE735E" w:rsidP="00335CCE">
      <w:pPr>
        <w:pStyle w:val="Zkladntext"/>
        <w:ind w:left="0"/>
        <w:rPr>
          <w:b/>
        </w:rPr>
      </w:pPr>
    </w:p>
    <w:p w14:paraId="78F05237" w14:textId="094F64BC" w:rsidR="00FE735E" w:rsidRDefault="00FE735E" w:rsidP="00335CCE">
      <w:pPr>
        <w:pStyle w:val="Zkladntext"/>
        <w:ind w:left="0"/>
        <w:rPr>
          <w:b/>
        </w:rPr>
      </w:pPr>
    </w:p>
    <w:p w14:paraId="45D83EA3" w14:textId="1D80EFF9" w:rsidR="006F416D" w:rsidRDefault="006F416D" w:rsidP="00335CCE">
      <w:pPr>
        <w:pStyle w:val="Zkladntext"/>
        <w:ind w:left="0"/>
        <w:rPr>
          <w:b/>
        </w:rPr>
      </w:pPr>
    </w:p>
    <w:p w14:paraId="7682F4AD" w14:textId="77777777" w:rsidR="006F416D" w:rsidRDefault="006F416D" w:rsidP="00335CCE">
      <w:pPr>
        <w:pStyle w:val="Zkladntext"/>
        <w:ind w:left="0"/>
        <w:rPr>
          <w:b/>
        </w:rPr>
      </w:pPr>
    </w:p>
    <w:p w14:paraId="756C5042" w14:textId="7CC3A726" w:rsidR="00335CCE" w:rsidRPr="004273DC" w:rsidRDefault="00335CCE" w:rsidP="00335CCE">
      <w:pPr>
        <w:pStyle w:val="Zkladntext"/>
        <w:ind w:left="0"/>
        <w:rPr>
          <w:b/>
        </w:rPr>
      </w:pPr>
      <w:r w:rsidRPr="004273DC">
        <w:rPr>
          <w:b/>
        </w:rPr>
        <w:lastRenderedPageBreak/>
        <w:t>Pozastavení plateb, přerušení výstavby</w:t>
      </w:r>
    </w:p>
    <w:p w14:paraId="574FDA2D" w14:textId="77777777" w:rsidR="00335CCE" w:rsidRPr="004273DC" w:rsidRDefault="00335CCE" w:rsidP="00335CCE">
      <w:pPr>
        <w:pStyle w:val="Nadpis2"/>
      </w:pPr>
      <w:r w:rsidRPr="004273DC">
        <w:t>V průběhu výstavby Budovy vyvstaly na straně Centrum Palmovka pochybnosti, zda Centrum Palmovka může pokračovat v plnění Smlouvy o výstavbě jako objednatel, a to zejména vzhledem k tomu, že (i) byly dány důvody nasvědčující neplatnosti Smlouvy o výstavbě a nemožnosti jejího plnění ze strany Centrum Palmovka a (</w:t>
      </w:r>
      <w:proofErr w:type="spellStart"/>
      <w:r w:rsidRPr="004273DC">
        <w:t>ii</w:t>
      </w:r>
      <w:proofErr w:type="spellEnd"/>
      <w:r w:rsidRPr="004273DC">
        <w:t xml:space="preserve">) došlo ke zpochybnění vlastnického práva Centrum Palmovka k Budově, resp. ukázalo se jednoznačně, že Centrum Palmovka není vlastníkem Budovy. </w:t>
      </w:r>
    </w:p>
    <w:p w14:paraId="2D71E743" w14:textId="77777777" w:rsidR="00335CCE" w:rsidRPr="004273DC" w:rsidRDefault="00335CCE" w:rsidP="00335CCE">
      <w:pPr>
        <w:pStyle w:val="Nadpis2"/>
      </w:pPr>
      <w:r w:rsidRPr="004273DC">
        <w:t>Centrum Palmovka (předchozí management) v reakci na výše uvedené v souladu se svými zákonnými povinnostmi, zejména povinností jednat s péčí řádného hospodáře a povinností hospodárného nakládání s finančními prostředky poskytnutými z veřejných zdrojů, pozastavila platby Metrostav Alfa podle Smlouvy o výstavbě.</w:t>
      </w:r>
      <w:bookmarkEnd w:id="8"/>
      <w:r w:rsidRPr="004273DC">
        <w:t xml:space="preserve"> </w:t>
      </w:r>
    </w:p>
    <w:p w14:paraId="05C1B2EF" w14:textId="77777777" w:rsidR="00335CCE" w:rsidRPr="004273DC" w:rsidRDefault="00335CCE" w:rsidP="00335CCE">
      <w:pPr>
        <w:pStyle w:val="Nadpis2"/>
      </w:pPr>
      <w:bookmarkStart w:id="12" w:name="_Ref486587243"/>
      <w:bookmarkStart w:id="13" w:name="_Ref486417136"/>
      <w:bookmarkEnd w:id="9"/>
      <w:r w:rsidRPr="004273DC">
        <w:t>Mezi Centrum Palmovka a Metrostav Alfa probíhalo smírčí jednání, které bylo neúspěšné.</w:t>
      </w:r>
    </w:p>
    <w:p w14:paraId="72FA3A23" w14:textId="77777777" w:rsidR="00335CCE" w:rsidRPr="004273DC" w:rsidRDefault="00335CCE" w:rsidP="00335CCE">
      <w:pPr>
        <w:pStyle w:val="Nadpis2"/>
      </w:pPr>
      <w:r w:rsidRPr="004273DC">
        <w:t xml:space="preserve">Metrostav Alfa přerušil práce na výstavbě Budovy. </w:t>
      </w:r>
    </w:p>
    <w:p w14:paraId="04953D37" w14:textId="77777777" w:rsidR="00335CCE" w:rsidRPr="004273DC" w:rsidRDefault="00335CCE" w:rsidP="00335CCE">
      <w:pPr>
        <w:pStyle w:val="Nadpis2"/>
        <w:numPr>
          <w:ilvl w:val="0"/>
          <w:numId w:val="0"/>
        </w:numPr>
        <w:rPr>
          <w:b/>
        </w:rPr>
      </w:pPr>
      <w:r w:rsidRPr="004273DC">
        <w:rPr>
          <w:b/>
        </w:rPr>
        <w:t>Právní podstata sporů</w:t>
      </w:r>
    </w:p>
    <w:p w14:paraId="6C5A1B0E" w14:textId="77777777" w:rsidR="00335CCE" w:rsidRPr="004273DC" w:rsidRDefault="00335CCE" w:rsidP="00335CCE">
      <w:pPr>
        <w:pStyle w:val="Nadpis2"/>
      </w:pPr>
      <w:r w:rsidRPr="004273DC">
        <w:t>Z právního hlediska vznikly v souvislosti s výstavbou Budovy následující základní problémy</w:t>
      </w:r>
      <w:r>
        <w:t xml:space="preserve"> (které odůvodňovaly pozastavit platby)</w:t>
      </w:r>
      <w:r w:rsidRPr="004273DC">
        <w:t>:</w:t>
      </w:r>
    </w:p>
    <w:p w14:paraId="57CCCB24" w14:textId="77777777" w:rsidR="00335CCE" w:rsidRPr="004273DC" w:rsidRDefault="00335CCE" w:rsidP="00335CCE">
      <w:pPr>
        <w:pStyle w:val="Nadpis3"/>
      </w:pPr>
      <w:r w:rsidRPr="004273DC">
        <w:t xml:space="preserve">nedošlo </w:t>
      </w:r>
      <w:r>
        <w:t xml:space="preserve">k </w:t>
      </w:r>
      <w:r w:rsidRPr="004273DC">
        <w:t xml:space="preserve">požádání </w:t>
      </w:r>
      <w:r>
        <w:t>R</w:t>
      </w:r>
      <w:r w:rsidRPr="004273DC">
        <w:t xml:space="preserve">ady Hlavního města Prahy o vydání předchozího souhlasu s výstavbou Budovy (nabytím vlastnického práva), čímž byl porušen Zákon o Hlavním městě Praze; a </w:t>
      </w:r>
    </w:p>
    <w:p w14:paraId="669A02DC" w14:textId="77777777" w:rsidR="00335CCE" w:rsidRPr="004273DC" w:rsidRDefault="00335CCE" w:rsidP="00335CCE">
      <w:pPr>
        <w:pStyle w:val="Nadpis3"/>
      </w:pPr>
      <w:r w:rsidRPr="004273DC">
        <w:t xml:space="preserve">Budova se stala v důsledku přijetí Občanského zákoníku </w:t>
      </w:r>
      <w:r w:rsidRPr="008C00B1">
        <w:rPr>
          <w:u w:val="single"/>
        </w:rPr>
        <w:t>součástí Pozemků</w:t>
      </w:r>
      <w:r w:rsidRPr="004273DC">
        <w:t xml:space="preserve">, a </w:t>
      </w:r>
      <w:r>
        <w:t>nestala se samostatnou stavbou ve vlastnictví Centrum Palmovka umístěnou na cizím pozemku (cizích pozemcích)</w:t>
      </w:r>
      <w:r w:rsidRPr="004273DC">
        <w:t xml:space="preserve">. </w:t>
      </w:r>
    </w:p>
    <w:p w14:paraId="3D6CA982" w14:textId="77777777" w:rsidR="00335CCE" w:rsidRPr="004273DC" w:rsidRDefault="00335CCE" w:rsidP="00335CCE">
      <w:pPr>
        <w:pStyle w:val="Nadpis2"/>
      </w:pPr>
      <w:r w:rsidRPr="004273DC">
        <w:t xml:space="preserve">Podle § 13 odst. 4 Statutu v rozhodném období byly městské části oprávněny činit jménem Hlavního města Prahy právní úkony, které </w:t>
      </w:r>
      <w:r w:rsidRPr="004273DC">
        <w:rPr>
          <w:u w:val="single"/>
        </w:rPr>
        <w:t>bezprostředně předcházejí</w:t>
      </w:r>
      <w:r w:rsidRPr="004273DC">
        <w:t xml:space="preserve"> nabytí vlastnictví nemovitosti po předchozím souhlasu </w:t>
      </w:r>
      <w:r>
        <w:t>R</w:t>
      </w:r>
      <w:r w:rsidRPr="004273DC">
        <w:t xml:space="preserve">ady Hlavního města Prahy (pokud se </w:t>
      </w:r>
      <w:r>
        <w:t>R</w:t>
      </w:r>
      <w:r w:rsidRPr="004273DC">
        <w:t>ada</w:t>
      </w:r>
      <w:r>
        <w:t xml:space="preserve"> Hlavního města Prahy </w:t>
      </w:r>
      <w:r w:rsidRPr="004273DC">
        <w:t xml:space="preserve">nevyjádří ve lhůtě 45 dnů, má se za to, že s návrhem souhlasí). Městská část Praha 8 v souvislosti s výstavbou Budovy a uzavřením Smlouvy o výstavbě však tuto zákonnou povinnost nesplnila. Podle ustálené judikatury Nejvyššího soudu České republiky (např. rozhodnutí spis. zn. 28 </w:t>
      </w:r>
      <w:proofErr w:type="spellStart"/>
      <w:r w:rsidRPr="004273DC">
        <w:t>Cdo</w:t>
      </w:r>
      <w:proofErr w:type="spellEnd"/>
      <w:r w:rsidRPr="004273DC">
        <w:t xml:space="preserve"> 4587/2007) je nedodržení postupu podle § 13 odst. 4 Statutu důvodem pro absolutní neplatnost právního jednání (tedy i Smlouvy o výstavbě). Rozhodčí soudu tuto ustálenou judikaturu ignoroval.  </w:t>
      </w:r>
    </w:p>
    <w:p w14:paraId="0CAFB62C" w14:textId="77777777" w:rsidR="00335CCE" w:rsidRPr="004273DC" w:rsidRDefault="00335CCE" w:rsidP="00335CCE">
      <w:pPr>
        <w:pStyle w:val="Nadpis2"/>
        <w:rPr>
          <w:rFonts w:eastAsiaTheme="minorHAnsi"/>
        </w:rPr>
      </w:pPr>
      <w:r w:rsidRPr="004273DC">
        <w:t xml:space="preserve">Výše uvedené omezení vychází z principu, že městské části mají omezenou způsobilost nabývat práv a povinností, neboť přímo nemohou do svého vlastnictví nabývat věci, ale jen do vlastnictví Hlavního města Prahy s tím, že dnem nabytí ve prospěch Hlavního města Prahy jsou městským částem věci svěřeny do správy. Jde o omezenou právní subjektivitu městských částí při nabývání majetku, která vyplývá z ustanovení § 34 odst. 5 Zákona o Hlavním městě Praze a § 13 odst. 1 Statutu a která slouží k zachování územní a majetkové jednotnosti Hlavního města Prahy jako obce. </w:t>
      </w:r>
    </w:p>
    <w:p w14:paraId="4BEC7692" w14:textId="77777777" w:rsidR="00335CCE" w:rsidRPr="005338E9" w:rsidRDefault="00335CCE" w:rsidP="00335CCE">
      <w:pPr>
        <w:pStyle w:val="Nadpis2"/>
      </w:pPr>
      <w:r w:rsidRPr="004273DC">
        <w:rPr>
          <w:rFonts w:eastAsiaTheme="minorHAnsi"/>
        </w:rPr>
        <w:lastRenderedPageBreak/>
        <w:t xml:space="preserve">Podle údajů z katastru nemovitostí je v současné době vlastníkem Pozemků Hlavní město Praha. </w:t>
      </w:r>
      <w:r w:rsidRPr="008C00B1">
        <w:rPr>
          <w:rFonts w:eastAsiaTheme="minorHAnsi"/>
          <w:u w:val="single"/>
        </w:rPr>
        <w:t>Pozemky nikdy nepřešly na Centrum Palmovka</w:t>
      </w:r>
      <w:r w:rsidRPr="004273DC">
        <w:rPr>
          <w:rFonts w:eastAsiaTheme="minorHAnsi"/>
        </w:rPr>
        <w:t>. V důsledku této skutečnosti, a zejména v důsledku přijetí Občanského zákoníku, se Centrum Palmovka nikdy nemohla stát vlastníkem Budovy, neboť Budova je v důsledku tzv. superficiální zásady</w:t>
      </w:r>
      <w:r>
        <w:rPr>
          <w:rFonts w:eastAsiaTheme="minorHAnsi"/>
        </w:rPr>
        <w:t xml:space="preserve"> (stavby na pozemcích nejsou samostatnou nemovitou věcí, ale právně </w:t>
      </w:r>
      <w:r w:rsidRPr="004273DC">
        <w:t>"</w:t>
      </w:r>
      <w:r>
        <w:rPr>
          <w:rFonts w:eastAsiaTheme="minorHAnsi"/>
        </w:rPr>
        <w:t>přirůstají</w:t>
      </w:r>
      <w:r w:rsidRPr="004273DC">
        <w:t>"</w:t>
      </w:r>
      <w:r>
        <w:rPr>
          <w:rFonts w:eastAsiaTheme="minorHAnsi"/>
        </w:rPr>
        <w:t xml:space="preserve"> k pozemku pod nimi a stávají se jeho součástí a sdílí jeho právní postavení)</w:t>
      </w:r>
      <w:r w:rsidRPr="004273DC">
        <w:rPr>
          <w:rFonts w:eastAsiaTheme="minorHAnsi"/>
        </w:rPr>
        <w:t xml:space="preserve"> součástí Pozemků (a není podle Občanského zákoníku samostatnou nemovitou věcí). </w:t>
      </w:r>
    </w:p>
    <w:p w14:paraId="498DAEE8" w14:textId="77777777" w:rsidR="00335CCE" w:rsidRDefault="00335CCE" w:rsidP="00335CCE">
      <w:pPr>
        <w:pStyle w:val="Nadpis2"/>
      </w:pPr>
      <w:r w:rsidRPr="004273DC">
        <w:t>Výstavba Budovy byla zahájena na začátku roku 2014 (tedy již za účinnosti Občanského zákoníku</w:t>
      </w:r>
      <w:r>
        <w:t xml:space="preserve"> a za účinnosti superficiální zásady</w:t>
      </w:r>
      <w:r w:rsidRPr="004273DC">
        <w:t xml:space="preserve">). </w:t>
      </w:r>
    </w:p>
    <w:p w14:paraId="5B7BDB63" w14:textId="77777777" w:rsidR="00335CCE" w:rsidRDefault="00335CCE" w:rsidP="00335CCE">
      <w:pPr>
        <w:pStyle w:val="Nadpis2"/>
      </w:pPr>
      <w:r w:rsidRPr="004273DC">
        <w:t>Do 1.</w:t>
      </w:r>
      <w:r>
        <w:t> </w:t>
      </w:r>
      <w:r w:rsidRPr="004273DC">
        <w:t>ledna 2014 platilo (v nejobecnějším smyslu), že vlastnické právo k nově postavené stavbě patří jejímu stavebníkovi (tím je osoba, která</w:t>
      </w:r>
      <w:r w:rsidRPr="004273DC">
        <w:rPr>
          <w:bCs/>
        </w:rPr>
        <w:t xml:space="preserve"> stavbu uskutečnila s právně relevantně projeveným úmyslem mít ji pro sebe)</w:t>
      </w:r>
      <w:r w:rsidRPr="004273DC">
        <w:t xml:space="preserve"> a vzniká k okamžiku jejího zhotovení. </w:t>
      </w:r>
      <w:r>
        <w:t xml:space="preserve">Pokud by před </w:t>
      </w:r>
      <w:r w:rsidRPr="004273DC">
        <w:t>1.</w:t>
      </w:r>
      <w:r>
        <w:t> </w:t>
      </w:r>
      <w:r w:rsidRPr="004273DC">
        <w:t>ledn</w:t>
      </w:r>
      <w:r>
        <w:t>em</w:t>
      </w:r>
      <w:r w:rsidRPr="004273DC">
        <w:t xml:space="preserve"> 2014</w:t>
      </w:r>
      <w:r>
        <w:t xml:space="preserve"> byla Budova zhotovena (alespoň v určitém rozsahu), vlastníkem Budovy by se stala Centrum Palmovka (oddělené vlastnictví Budovy a Pozemků). </w:t>
      </w:r>
      <w:proofErr w:type="gramStart"/>
      <w:r>
        <w:t xml:space="preserve">Po  </w:t>
      </w:r>
      <w:r w:rsidRPr="004273DC">
        <w:t>1.</w:t>
      </w:r>
      <w:proofErr w:type="gramEnd"/>
      <w:r>
        <w:t> </w:t>
      </w:r>
      <w:r w:rsidRPr="004273DC">
        <w:t>ledn</w:t>
      </w:r>
      <w:r>
        <w:t>u</w:t>
      </w:r>
      <w:r w:rsidRPr="004273DC">
        <w:t xml:space="preserve"> 2014</w:t>
      </w:r>
      <w:r>
        <w:t xml:space="preserve"> však platí superficiální zásada, a Budova se stala součástí Pozemků. </w:t>
      </w:r>
    </w:p>
    <w:p w14:paraId="399C4E64" w14:textId="77777777" w:rsidR="00335CCE" w:rsidRPr="004273DC" w:rsidRDefault="00335CCE" w:rsidP="00335CCE">
      <w:pPr>
        <w:pStyle w:val="Nadpis2"/>
      </w:pPr>
      <w:r w:rsidRPr="004273DC">
        <w:t xml:space="preserve">Uzavřením </w:t>
      </w:r>
      <w:r>
        <w:t xml:space="preserve">(postoupením) </w:t>
      </w:r>
      <w:r w:rsidRPr="004273DC">
        <w:t xml:space="preserve">Smlouvy o výstavbě vlastnické právo </w:t>
      </w:r>
      <w:r>
        <w:t xml:space="preserve">Centrum Palmovka </w:t>
      </w:r>
      <w:r w:rsidRPr="004273DC">
        <w:t>ke stavbě (k Budově) i navzdory textaci Odstavce 24.3 Smlouvy o výstavbě nevzniká.</w:t>
      </w:r>
      <w:r>
        <w:t xml:space="preserve"> </w:t>
      </w:r>
      <w:r w:rsidRPr="004273DC">
        <w:t xml:space="preserve">Smlouva o výstavbě Městské části Praha 8 s Metrostavem Alfa o výstavbě nebyla právní skutečností, která by vedla ke vzniku vlastnického práva, nešlo o smlouvu převodní (ani smlouvu o vkladu do obchodní společnosti). Zhotovitel díla se jeho vlastníkem nestává a není tedy ani možné, aby takové právo převáděl. Budova, a tedy i vlastnické právo k ní vznikají jinou právní skutečností (tedy nikoliv smluvně), ale </w:t>
      </w:r>
      <w:r w:rsidRPr="005338E9">
        <w:rPr>
          <w:u w:val="single"/>
        </w:rPr>
        <w:t>faktickou výstavbou</w:t>
      </w:r>
      <w:r w:rsidRPr="004273DC">
        <w:t xml:space="preserve"> (tedy </w:t>
      </w:r>
      <w:proofErr w:type="gramStart"/>
      <w:r w:rsidRPr="004273DC">
        <w:t>zhotovením - originárně</w:t>
      </w:r>
      <w:proofErr w:type="gramEnd"/>
      <w:r w:rsidRPr="004273DC">
        <w:t xml:space="preserve">). Smlouva je </w:t>
      </w:r>
      <w:r>
        <w:t xml:space="preserve">pouze </w:t>
      </w:r>
      <w:r w:rsidRPr="004273DC">
        <w:t xml:space="preserve">titulem, který určuje, kdo se k danému okamžiku stane jejím </w:t>
      </w:r>
      <w:r w:rsidRPr="005338E9">
        <w:rPr>
          <w:u w:val="single"/>
        </w:rPr>
        <w:t>prvním vlastníkem</w:t>
      </w:r>
      <w:r w:rsidRPr="004273DC">
        <w:t>. Vlastnické právo vzniká jen způsobem stanoveným v zákoně a k okamžiku tam stanovenému (resp. v této situaci na základě zákona, což potvrzuje i dlouhodobý výklad). V tomto případě jde o nabytí originární. Hlavní město Praha by se stalo vlastníkem Budovy (resp. vlastníkem Pozemků, jejichž součástí by byla Budova), i kdyby byla Smlouva o výstavbě od počátku neplatná (a to samotným aktem výstavby).</w:t>
      </w:r>
    </w:p>
    <w:p w14:paraId="3C781B9C" w14:textId="77777777" w:rsidR="00335CCE" w:rsidRPr="004273DC" w:rsidRDefault="00335CCE" w:rsidP="00335CCE">
      <w:pPr>
        <w:pStyle w:val="Nadpis2"/>
        <w:numPr>
          <w:ilvl w:val="0"/>
          <w:numId w:val="0"/>
        </w:numPr>
        <w:rPr>
          <w:b/>
        </w:rPr>
      </w:pPr>
      <w:r w:rsidRPr="004273DC">
        <w:rPr>
          <w:b/>
        </w:rPr>
        <w:t>Spor u rozhodčího soudu o zaplacení dlužné částky ze Smlouvy o výstavbě</w:t>
      </w:r>
    </w:p>
    <w:p w14:paraId="66C7FBDF" w14:textId="77777777" w:rsidR="00335CCE" w:rsidRPr="004273DC" w:rsidRDefault="00335CCE" w:rsidP="00335CCE">
      <w:pPr>
        <w:pStyle w:val="Nadpis2"/>
      </w:pPr>
      <w:r>
        <w:t xml:space="preserve">Po neúspěšném pokusu o smír, </w:t>
      </w:r>
      <w:r w:rsidRPr="004273DC">
        <w:t>Metrostav Alfa dne 13. července 2015 podal proti Centrum Palmovka u Rozhodčího soudu při Hospodářské komoře České republiky a Agrární komoře České republiky (dále jen "</w:t>
      </w:r>
      <w:r w:rsidRPr="004273DC">
        <w:rPr>
          <w:b/>
        </w:rPr>
        <w:t>Rozhodčí soud</w:t>
      </w:r>
      <w:r w:rsidRPr="004273DC">
        <w:t>") žalobu o zaplacení 17.985.000,- Kč spolu s příslušenstvím jako části neuhrazeného plnění podle Smlouvy o výstavbě.</w:t>
      </w:r>
    </w:p>
    <w:p w14:paraId="21168FCD" w14:textId="77777777" w:rsidR="00335CCE" w:rsidRPr="004273DC" w:rsidRDefault="00335CCE" w:rsidP="00335CCE">
      <w:pPr>
        <w:pStyle w:val="Nadpis2"/>
      </w:pPr>
      <w:bookmarkStart w:id="14" w:name="_Ref495486666"/>
      <w:r>
        <w:t xml:space="preserve">Žalobou u Rozhodčího soudu nebyl ze strany Metrostav Alfa požadován celý dluh ve výši </w:t>
      </w:r>
      <w:r w:rsidRPr="004273DC">
        <w:t>179.849.896,20 Kč za realizované milníky provedení hrubé stavby 2., 3., 6., 7. a 8. nadzemního podlaží Budovy</w:t>
      </w:r>
      <w:r>
        <w:t xml:space="preserve">, ale pouze část dluhu (ve výši </w:t>
      </w:r>
      <w:r w:rsidRPr="004273DC">
        <w:t>17.985.000,- Kč</w:t>
      </w:r>
      <w:r>
        <w:t>). Dlužná částka se ponižuje o zádržné ve výši 10 %.</w:t>
      </w:r>
      <w:r w:rsidRPr="004273DC">
        <w:t xml:space="preserve"> </w:t>
      </w:r>
    </w:p>
    <w:p w14:paraId="799773A0" w14:textId="77777777" w:rsidR="00335CCE" w:rsidRPr="004273DC" w:rsidRDefault="00335CCE" w:rsidP="00335CCE">
      <w:pPr>
        <w:pStyle w:val="Nadpis2"/>
      </w:pPr>
      <w:r w:rsidRPr="004273DC">
        <w:t xml:space="preserve">Dne 14. října 2016 vydal Rozhodčí soud rozhodčí nález ve sporu o zaplacení 17.985.000,- Kč spolu s příslušenstvím, vedeném pod spisovou značkou </w:t>
      </w:r>
      <w:proofErr w:type="spellStart"/>
      <w:r w:rsidRPr="004273DC">
        <w:t>Rsp</w:t>
      </w:r>
      <w:proofErr w:type="spellEnd"/>
      <w:r w:rsidRPr="004273DC">
        <w:t xml:space="preserve"> 735/15 (dále </w:t>
      </w:r>
      <w:r w:rsidRPr="004273DC">
        <w:lastRenderedPageBreak/>
        <w:t>jen "</w:t>
      </w:r>
      <w:r w:rsidRPr="004273DC">
        <w:rPr>
          <w:b/>
        </w:rPr>
        <w:t>Rozhodčí nález</w:t>
      </w:r>
      <w:r w:rsidRPr="004273DC">
        <w:t>"). Tento Rozhodčí nález uložil Centrum Palmovka povinnost zaplatit Metrostav Alfa:</w:t>
      </w:r>
      <w:bookmarkEnd w:id="14"/>
    </w:p>
    <w:p w14:paraId="423BBE41" w14:textId="77777777" w:rsidR="00335CCE" w:rsidRPr="004273DC" w:rsidRDefault="00335CCE" w:rsidP="00335CCE">
      <w:pPr>
        <w:pStyle w:val="Nadpis5"/>
        <w:numPr>
          <w:ilvl w:val="4"/>
          <w:numId w:val="17"/>
        </w:numPr>
        <w:tabs>
          <w:tab w:val="clear" w:pos="2438"/>
        </w:tabs>
        <w:ind w:left="1134"/>
      </w:pPr>
      <w:r w:rsidRPr="004273DC">
        <w:t>částku ve výši 17.985.000,- Kč spolu s úrokem z prodlení z této částky ve výši 0,05</w:t>
      </w:r>
      <w:r>
        <w:t> </w:t>
      </w:r>
      <w:r w:rsidRPr="004273DC">
        <w:t>% denně ode dne 19. května 2015, to vše do 15 dnů ode dne právní moci Rozhodčího nálezu; a</w:t>
      </w:r>
    </w:p>
    <w:p w14:paraId="08FEAA7E" w14:textId="77777777" w:rsidR="00335CCE" w:rsidRPr="004273DC" w:rsidRDefault="00335CCE" w:rsidP="00335CCE">
      <w:pPr>
        <w:pStyle w:val="Nadpis5"/>
        <w:numPr>
          <w:ilvl w:val="4"/>
          <w:numId w:val="17"/>
        </w:numPr>
        <w:tabs>
          <w:tab w:val="clear" w:pos="2438"/>
        </w:tabs>
        <w:ind w:left="1134"/>
      </w:pPr>
      <w:r w:rsidRPr="004273DC">
        <w:t>částku ve výši 1.283.502,- Kč, jakožto náhradu nákladů rozhodčího řízení, a to do 15 dnů ode dne právní moci Rozhodčího nálezu.</w:t>
      </w:r>
    </w:p>
    <w:p w14:paraId="2CDF6650" w14:textId="77777777" w:rsidR="00335CCE" w:rsidRPr="004273DC" w:rsidRDefault="00335CCE" w:rsidP="00335CCE">
      <w:pPr>
        <w:pStyle w:val="Nadpis2"/>
      </w:pPr>
      <w:r w:rsidRPr="004273DC">
        <w:t xml:space="preserve">Rozhodčí nález byl v souladu s článkem 45.4 Smlouvy o výstavbě přezkoumatelný jinými rozhodci. Centrum Palmovka podala žádost o přezkum Rozhodčího nálezu. </w:t>
      </w:r>
    </w:p>
    <w:p w14:paraId="1164C9EE" w14:textId="77777777" w:rsidR="00335CCE" w:rsidRPr="004273DC" w:rsidRDefault="00335CCE" w:rsidP="00335CCE">
      <w:pPr>
        <w:pStyle w:val="Nadpis2"/>
      </w:pPr>
      <w:bookmarkStart w:id="15" w:name="_Ref486851636"/>
      <w:bookmarkStart w:id="16" w:name="_Ref485899217"/>
      <w:r w:rsidRPr="004273DC">
        <w:t xml:space="preserve">Dne 22. června 2017 vydal Rozhodčí soud přezkumný rozhodčí nález, spisová značka </w:t>
      </w:r>
      <w:r w:rsidRPr="004273DC">
        <w:br/>
      </w:r>
      <w:proofErr w:type="spellStart"/>
      <w:r w:rsidRPr="004273DC">
        <w:t>Rsp</w:t>
      </w:r>
      <w:proofErr w:type="spellEnd"/>
      <w:r w:rsidRPr="004273DC">
        <w:t xml:space="preserve"> 1032/16 (dále jen "</w:t>
      </w:r>
      <w:r w:rsidRPr="004273DC">
        <w:rPr>
          <w:b/>
        </w:rPr>
        <w:t>Přezkumný rozhodčí nález</w:t>
      </w:r>
      <w:r w:rsidRPr="004273DC">
        <w:t>"). Podle Přezkumného rozhodčího nálezu:</w:t>
      </w:r>
    </w:p>
    <w:p w14:paraId="62A37225" w14:textId="77777777" w:rsidR="00335CCE" w:rsidRPr="004273DC" w:rsidRDefault="00335CCE" w:rsidP="00335CCE">
      <w:pPr>
        <w:pStyle w:val="Nadpis5"/>
        <w:numPr>
          <w:ilvl w:val="4"/>
          <w:numId w:val="18"/>
        </w:numPr>
        <w:tabs>
          <w:tab w:val="clear" w:pos="2438"/>
        </w:tabs>
        <w:ind w:left="1134"/>
      </w:pPr>
      <w:r w:rsidRPr="004273DC">
        <w:t>byl potvrzen výrok Rozhodčího nálezu v plném rozsahu, včetně stanovených platebních povinností; a</w:t>
      </w:r>
    </w:p>
    <w:p w14:paraId="335EE89B" w14:textId="77777777" w:rsidR="00335CCE" w:rsidRPr="004273DC" w:rsidRDefault="00335CCE" w:rsidP="00335CCE">
      <w:pPr>
        <w:pStyle w:val="Nadpis5"/>
        <w:numPr>
          <w:ilvl w:val="4"/>
          <w:numId w:val="18"/>
        </w:numPr>
        <w:tabs>
          <w:tab w:val="clear" w:pos="2438"/>
        </w:tabs>
        <w:ind w:left="1134"/>
      </w:pPr>
      <w:r w:rsidRPr="004273DC">
        <w:t>byla uložena povinnost Centrum Palmovka zaplatit Metrostav Alfa náhradu nákladů přezkumného rozhodčího řízení v celkové výši 785.768,- Kč</w:t>
      </w:r>
      <w:bookmarkEnd w:id="15"/>
      <w:bookmarkEnd w:id="16"/>
      <w:r w:rsidRPr="004273DC">
        <w:t>.</w:t>
      </w:r>
    </w:p>
    <w:p w14:paraId="5B0E631D" w14:textId="77777777" w:rsidR="00335CCE" w:rsidRPr="004273DC" w:rsidRDefault="00335CCE" w:rsidP="00335CCE">
      <w:pPr>
        <w:pStyle w:val="Nadpis2"/>
      </w:pPr>
      <w:r w:rsidRPr="004273DC">
        <w:t>Rozhodčí soud v Přezkumném rozhodčím nálezu vyslovil platnost Smlouvy o výstavbě a na ni navazujících postupních smluv. Dostavbu Budovy však nelze provést bez účasti Městské části Praha 8.</w:t>
      </w:r>
    </w:p>
    <w:p w14:paraId="51FD4373" w14:textId="77777777" w:rsidR="00335CCE" w:rsidRPr="004273DC" w:rsidRDefault="00335CCE" w:rsidP="00335CCE">
      <w:pPr>
        <w:pStyle w:val="Zkladntext"/>
        <w:ind w:left="0"/>
        <w:rPr>
          <w:b/>
        </w:rPr>
      </w:pPr>
      <w:r w:rsidRPr="004273DC">
        <w:rPr>
          <w:b/>
        </w:rPr>
        <w:t>Spor u Obvodního soudu pro Prahu 8 o určení vlastnického práva k Budově</w:t>
      </w:r>
    </w:p>
    <w:p w14:paraId="7C116C8A" w14:textId="77777777" w:rsidR="00335CCE" w:rsidRPr="004273DC" w:rsidRDefault="00335CCE" w:rsidP="00335CCE">
      <w:pPr>
        <w:pStyle w:val="Nadpis2"/>
      </w:pPr>
      <w:bookmarkStart w:id="17" w:name="_Ref495933483"/>
      <w:r>
        <w:t xml:space="preserve">S ohledem na nejistotu ohledně vlastnictví Budovy </w:t>
      </w:r>
      <w:r w:rsidRPr="004273DC">
        <w:t xml:space="preserve">podala Centrum Palmovka </w:t>
      </w:r>
      <w:r>
        <w:t>d</w:t>
      </w:r>
      <w:r w:rsidRPr="004273DC">
        <w:t>ne 3.</w:t>
      </w:r>
      <w:r>
        <w:t> </w:t>
      </w:r>
      <w:r w:rsidRPr="004273DC">
        <w:t>července 2015 žalobu k Obvodnímu soudu pro Prahu 8 ve věci určení vlastnického práva k Budově. Řízení o určení vlastnického práva k Budově bylo vedeno pod spisovou značkou 27 C 258/2015.</w:t>
      </w:r>
    </w:p>
    <w:p w14:paraId="437DDB33" w14:textId="77777777" w:rsidR="00335CCE" w:rsidRPr="004273DC" w:rsidRDefault="00335CCE" w:rsidP="00335CCE">
      <w:pPr>
        <w:pStyle w:val="Nadpis2"/>
      </w:pPr>
      <w:r w:rsidRPr="004273DC">
        <w:t xml:space="preserve">Dne </w:t>
      </w:r>
      <w:r w:rsidRPr="004273DC">
        <w:rPr>
          <w:rFonts w:eastAsia="Times New Roman"/>
          <w:lang w:eastAsia="cs-CZ"/>
        </w:rPr>
        <w:t>5. října 2017</w:t>
      </w:r>
      <w:r w:rsidRPr="004273DC">
        <w:t xml:space="preserve"> vydal Obvodní soud pro Prahu 8 usnesení číslo jednací </w:t>
      </w:r>
      <w:r w:rsidRPr="004273DC">
        <w:rPr>
          <w:rFonts w:eastAsia="Times New Roman"/>
          <w:lang w:eastAsia="cs-CZ"/>
        </w:rPr>
        <w:t>27 C 258/2015-385</w:t>
      </w:r>
      <w:r w:rsidRPr="004273DC">
        <w:t xml:space="preserve"> ve věci řízení o určení vlastnického práva k Budově. Usnesením o schválení smíru byl schválen soudní smír shodně navrhovaný Centrum Palmovka, Prahou a Městskou částí a určil, že vlastníkem Budovy jako součásti pozemku </w:t>
      </w:r>
      <w:proofErr w:type="spellStart"/>
      <w:r w:rsidRPr="004273DC">
        <w:t>parc</w:t>
      </w:r>
      <w:proofErr w:type="spellEnd"/>
      <w:r w:rsidRPr="004273DC">
        <w:t>. č. 4014/2 v katastrálním území Libeň, obec Praha, je od počátku Hlavní město Praha. S účinky pravomocného rozsudku bylo potvrzeno, že se jedná o nemovitý majetek Hlavního města Prahy svěřený do správy Městské části.</w:t>
      </w:r>
      <w:bookmarkEnd w:id="17"/>
    </w:p>
    <w:p w14:paraId="4E4F111D" w14:textId="77777777" w:rsidR="00335CCE" w:rsidRPr="004273DC" w:rsidRDefault="00335CCE" w:rsidP="00335CCE">
      <w:pPr>
        <w:pStyle w:val="Nadpis2"/>
        <w:numPr>
          <w:ilvl w:val="0"/>
          <w:numId w:val="0"/>
        </w:numPr>
        <w:rPr>
          <w:b/>
        </w:rPr>
      </w:pPr>
      <w:bookmarkStart w:id="18" w:name="_Ref493951105"/>
      <w:bookmarkStart w:id="19" w:name="_Ref506375059"/>
      <w:r w:rsidRPr="004273DC">
        <w:rPr>
          <w:b/>
        </w:rPr>
        <w:t>Jednání s Hlavním městem Prahou</w:t>
      </w:r>
    </w:p>
    <w:p w14:paraId="4A505A5B" w14:textId="77777777" w:rsidR="00335CCE" w:rsidRPr="004273DC" w:rsidRDefault="00335CCE" w:rsidP="00335CCE">
      <w:pPr>
        <w:pStyle w:val="Nadpis2"/>
      </w:pPr>
      <w:r w:rsidRPr="004273DC">
        <w:t xml:space="preserve">Z důvodů uvedených výše bylo zahájeno jednání s Hlavním městem Prahou (jako se skutečným vlastníkem) o využití Budovy a o vypořádání práv a povinností z výstavby. </w:t>
      </w:r>
    </w:p>
    <w:p w14:paraId="07A72037" w14:textId="77777777" w:rsidR="00335CCE" w:rsidRPr="004273DC" w:rsidRDefault="00335CCE" w:rsidP="00335CCE">
      <w:pPr>
        <w:pStyle w:val="Nadpis2"/>
      </w:pPr>
      <w:r w:rsidRPr="004273DC">
        <w:t>Jednou z diskutovaných variant bylo odejmutí správy Pozemků (a Budovy) za finanční náhradu tak, aby Pozemky (a Budova) byla ve výlučném vlastnictví Hlavního města Prahy (bez svěření do správy Městské části Praha 8).</w:t>
      </w:r>
    </w:p>
    <w:bookmarkEnd w:id="12"/>
    <w:bookmarkEnd w:id="13"/>
    <w:bookmarkEnd w:id="18"/>
    <w:bookmarkEnd w:id="19"/>
    <w:p w14:paraId="318B9893" w14:textId="77777777" w:rsidR="00335CCE" w:rsidRPr="004273DC" w:rsidRDefault="00335CCE" w:rsidP="00335CCE">
      <w:pPr>
        <w:pStyle w:val="Nadpis2"/>
        <w:numPr>
          <w:ilvl w:val="0"/>
          <w:numId w:val="0"/>
        </w:numPr>
        <w:rPr>
          <w:b/>
        </w:rPr>
      </w:pPr>
      <w:r w:rsidRPr="004273DC">
        <w:rPr>
          <w:b/>
        </w:rPr>
        <w:lastRenderedPageBreak/>
        <w:t>Memorandum o porozumění</w:t>
      </w:r>
    </w:p>
    <w:p w14:paraId="53691AE4" w14:textId="77777777" w:rsidR="00335CCE" w:rsidRPr="004273DC" w:rsidRDefault="00335CCE" w:rsidP="00335CCE">
      <w:pPr>
        <w:pStyle w:val="Nadpis2"/>
      </w:pPr>
      <w:r w:rsidRPr="004273DC">
        <w:rPr>
          <w:rFonts w:eastAsia="Times New Roman"/>
          <w:bCs/>
          <w:kern w:val="32"/>
          <w:szCs w:val="20"/>
        </w:rPr>
        <w:t>Ve snaze předcháze</w:t>
      </w:r>
      <w:r>
        <w:rPr>
          <w:rFonts w:eastAsia="Times New Roman"/>
          <w:bCs/>
          <w:kern w:val="32"/>
          <w:szCs w:val="20"/>
        </w:rPr>
        <w:t>t</w:t>
      </w:r>
      <w:r w:rsidRPr="004273DC">
        <w:rPr>
          <w:rFonts w:eastAsia="Times New Roman"/>
          <w:bCs/>
          <w:kern w:val="32"/>
          <w:szCs w:val="20"/>
        </w:rPr>
        <w:t xml:space="preserve"> škodám a se záměrem dostavby Budovy a narovnání a vypořádání svých majetkoprávních vztahů bylo dne 18. května 2017 mezi (i) Centrum Palmovka, (</w:t>
      </w:r>
      <w:proofErr w:type="spellStart"/>
      <w:r w:rsidRPr="004273DC">
        <w:rPr>
          <w:rFonts w:eastAsia="Times New Roman"/>
          <w:bCs/>
          <w:kern w:val="32"/>
          <w:szCs w:val="20"/>
        </w:rPr>
        <w:t>ii</w:t>
      </w:r>
      <w:proofErr w:type="spellEnd"/>
      <w:r w:rsidRPr="004273DC">
        <w:rPr>
          <w:rFonts w:eastAsia="Times New Roman"/>
          <w:bCs/>
          <w:kern w:val="32"/>
          <w:szCs w:val="20"/>
        </w:rPr>
        <w:t>) Hlavním městem Prahou, (</w:t>
      </w:r>
      <w:proofErr w:type="spellStart"/>
      <w:r w:rsidRPr="004273DC">
        <w:rPr>
          <w:rFonts w:eastAsia="Times New Roman"/>
          <w:bCs/>
          <w:kern w:val="32"/>
          <w:szCs w:val="20"/>
        </w:rPr>
        <w:t>iii</w:t>
      </w:r>
      <w:proofErr w:type="spellEnd"/>
      <w:r w:rsidRPr="004273DC">
        <w:rPr>
          <w:rFonts w:eastAsia="Times New Roman"/>
          <w:bCs/>
          <w:kern w:val="32"/>
          <w:szCs w:val="20"/>
        </w:rPr>
        <w:t>) Městskou částí Praha 8, (</w:t>
      </w:r>
      <w:proofErr w:type="spellStart"/>
      <w:r w:rsidRPr="004273DC">
        <w:rPr>
          <w:rFonts w:eastAsia="Times New Roman"/>
          <w:bCs/>
          <w:kern w:val="32"/>
          <w:szCs w:val="20"/>
        </w:rPr>
        <w:t>iv</w:t>
      </w:r>
      <w:proofErr w:type="spellEnd"/>
      <w:r w:rsidRPr="004273DC">
        <w:rPr>
          <w:rFonts w:eastAsia="Times New Roman"/>
          <w:bCs/>
          <w:kern w:val="32"/>
          <w:szCs w:val="20"/>
        </w:rPr>
        <w:t>) Metrostav Development a (v) Metrostav Alfa uzavřeno Memorandum o porozumění ve věci dostavby Budovy a dohody o vyřešení a narovnání práv a povinností (dále jen "</w:t>
      </w:r>
      <w:r w:rsidRPr="004273DC">
        <w:rPr>
          <w:rFonts w:eastAsia="Times New Roman"/>
          <w:b/>
          <w:bCs/>
          <w:kern w:val="32"/>
          <w:szCs w:val="20"/>
        </w:rPr>
        <w:t>Memorandum</w:t>
      </w:r>
      <w:r w:rsidRPr="004273DC">
        <w:rPr>
          <w:rFonts w:eastAsia="Times New Roman"/>
          <w:bCs/>
          <w:kern w:val="32"/>
          <w:szCs w:val="20"/>
        </w:rPr>
        <w:t xml:space="preserve">"). </w:t>
      </w:r>
    </w:p>
    <w:p w14:paraId="02396E5B" w14:textId="77777777" w:rsidR="00335CCE" w:rsidRPr="004273DC" w:rsidRDefault="00335CCE" w:rsidP="00335CCE">
      <w:pPr>
        <w:pStyle w:val="Nadpis2"/>
      </w:pPr>
      <w:r w:rsidRPr="004273DC">
        <w:t>V uzavřeném Memorandu se jeho strany zavázaly zahájit vzájemná jednání a postupovat ve společném úsilí za účelem nalezení shody na právním způsobu dostavby Budovy a narovnání a vypořádání majetkoprávních vztahů tak, aby došlo k </w:t>
      </w:r>
      <w:r>
        <w:t>hospodárnému</w:t>
      </w:r>
      <w:r w:rsidRPr="004273DC">
        <w:t xml:space="preserve"> nakládání veřejných prostředků při respektování právního rámce a veškerých omezení vyplývajících z platných právních předpisů. </w:t>
      </w:r>
    </w:p>
    <w:p w14:paraId="704B3E25" w14:textId="77777777" w:rsidR="00335CCE" w:rsidRPr="004273DC" w:rsidRDefault="00335CCE" w:rsidP="00335CCE">
      <w:pPr>
        <w:pStyle w:val="Nadpis2"/>
      </w:pPr>
      <w:r w:rsidRPr="004273DC">
        <w:t xml:space="preserve">V tomto rámci se Hlavní město Praha a Centrum Palmovka výslovně zavázaly vyvinout veškeré úsilí za účelem dosažení smíru v rámci řízení o určení vlastnického práva k Budově vedeném před Obvodním soudem pro Prahu 8 pod spisovou značkou 27 C 258/2015. Ukončení tohoto soudního sporu bylo všemi stranami vnímáno jako podmínka dostavby Budovy a narovnání a vypořádání sporných majetkoprávních vztahů. </w:t>
      </w:r>
    </w:p>
    <w:p w14:paraId="119C0E47" w14:textId="77777777" w:rsidR="00335CCE" w:rsidRPr="004273DC" w:rsidRDefault="00335CCE" w:rsidP="00335CCE">
      <w:pPr>
        <w:pStyle w:val="Nadpis2"/>
      </w:pPr>
      <w:r w:rsidRPr="004273DC">
        <w:t xml:space="preserve">Všemi stranami Memoranda bylo vnímáno, že nejvhodnějším východiskem pro dostavbu Budovy a narovnání a vypořádání majetkoprávních vztahů je potvrzení vlastnického práva Hlavního města Prahy k Budově. Existence vlastnického práva Hlavního města Prahy k Budově rovněž vyplývá i z právního </w:t>
      </w:r>
      <w:r>
        <w:t xml:space="preserve">názoru </w:t>
      </w:r>
      <w:r w:rsidRPr="004273DC">
        <w:t xml:space="preserve">uvedeného v přezkumném rozhodčím nálezu, vydaným Rozhodčím soudem při Hospodářské komoře České republiky a Agrární komoře České republiky dne 22. června 2017, spisová značka </w:t>
      </w:r>
      <w:proofErr w:type="spellStart"/>
      <w:r w:rsidRPr="004273DC">
        <w:t>Rsp</w:t>
      </w:r>
      <w:proofErr w:type="spellEnd"/>
      <w:r w:rsidRPr="004273DC">
        <w:t xml:space="preserve"> 1032/16 ve sporu mezi Centrum Palmovka a Metrostav Alfa o zaplacení 17.985.000,- Kč s příslušenstvím. </w:t>
      </w:r>
    </w:p>
    <w:p w14:paraId="2ADC755D" w14:textId="77777777" w:rsidR="00335CCE" w:rsidRPr="004273DC" w:rsidRDefault="00335CCE" w:rsidP="00335CCE">
      <w:pPr>
        <w:pStyle w:val="Nadpis2"/>
        <w:numPr>
          <w:ilvl w:val="0"/>
          <w:numId w:val="0"/>
        </w:numPr>
        <w:rPr>
          <w:b/>
        </w:rPr>
      </w:pPr>
      <w:r w:rsidRPr="004273DC">
        <w:rPr>
          <w:b/>
        </w:rPr>
        <w:t>Další jednání s Hlavním městem Prahou</w:t>
      </w:r>
    </w:p>
    <w:p w14:paraId="668F33C5" w14:textId="77777777" w:rsidR="00335CCE" w:rsidRPr="004273DC" w:rsidRDefault="00335CCE" w:rsidP="00335CCE">
      <w:pPr>
        <w:pStyle w:val="Nadpis2"/>
      </w:pPr>
      <w:r w:rsidRPr="004273DC">
        <w:t>Oproti původnímu předpokladu  Hlavní město Praha odmítlo odejmout správu Budovy (Pozemků) a Hlavní město Praha doporučilo v rámci řešení vypořádání vztahů k Pozemkům a Budově, aby došlo k dostavbě Budovy a aby dostavbu Budovy realizovala Městská část Praha 8. Hlavní město Praha zároveň požádalo Městskou část Praha 8 o možnost využít část Budovy pro umístění sídla některých organizací v přímé řídící působnosti Hlavního města Prahy, jmenovitě pro sídlo Zdravotnické záchranné služby hl. m. Prahy (dále jen "</w:t>
      </w:r>
      <w:r w:rsidRPr="004273DC">
        <w:rPr>
          <w:b/>
        </w:rPr>
        <w:t>Zdravotnická záchranná služba</w:t>
      </w:r>
      <w:r w:rsidRPr="004273DC">
        <w:t xml:space="preserve">"), která je příspěvkovou organizací zřizovanou Hlavním městem Prahou. Umístění Zdravotnické záchranné služby v Budově odpovídá strategii Hlavního města Prahy využít stávající nemovité věci v majetku Hlavního města Prahy nebo nemovité věci Hlavního města Prahy, které jsou již ve stadiu rozestavěnosti. </w:t>
      </w:r>
      <w:r>
        <w:t xml:space="preserve">Hlavní město Praha zároveň nabídlo Městské části Praha 8 poskytnutí dotace ve výši 600.000.000,- Kč. </w:t>
      </w:r>
    </w:p>
    <w:p w14:paraId="1EC1F53E" w14:textId="77777777" w:rsidR="00335CCE" w:rsidRPr="004273DC" w:rsidRDefault="00335CCE" w:rsidP="00335CCE">
      <w:pPr>
        <w:pStyle w:val="Nadpis2"/>
      </w:pPr>
      <w:r w:rsidRPr="004273DC">
        <w:t>S ohledem na změnu postoje Hlavního města Prahy se tak ukázalo jako jediným reálně proveditelným řešením dostavba Budovy Městskou částí Praha 8.</w:t>
      </w:r>
    </w:p>
    <w:p w14:paraId="11EA1BDA" w14:textId="77777777" w:rsidR="00335CCE" w:rsidRPr="004273DC" w:rsidRDefault="00335CCE" w:rsidP="00335CCE">
      <w:pPr>
        <w:pStyle w:val="Nadpis2"/>
      </w:pPr>
      <w:r w:rsidRPr="004273DC">
        <w:t xml:space="preserve">V důsledku skutečností uvedených výše bylo doporučeno, aby Městská část Praha 8 dostavěla Budovu a aby v části Budovy bylo umístěno sídlo Zdravotnické záchranné </w:t>
      </w:r>
      <w:r w:rsidRPr="004273DC">
        <w:lastRenderedPageBreak/>
        <w:t>služby. Hlavní město Praha s dostavbou Budovy ze strany Městské části Praha 8 vyslovila souhlas.</w:t>
      </w:r>
    </w:p>
    <w:p w14:paraId="5D3B22E1" w14:textId="77777777" w:rsidR="00335CCE" w:rsidRPr="004273DC" w:rsidRDefault="00335CCE" w:rsidP="00335CCE">
      <w:pPr>
        <w:pStyle w:val="Nadpis2"/>
        <w:numPr>
          <w:ilvl w:val="0"/>
          <w:numId w:val="0"/>
        </w:numPr>
        <w:rPr>
          <w:b/>
        </w:rPr>
      </w:pPr>
      <w:bookmarkStart w:id="20" w:name="_Ref487453577"/>
      <w:bookmarkStart w:id="21" w:name="_Ref506452077"/>
      <w:r w:rsidRPr="004273DC">
        <w:rPr>
          <w:b/>
        </w:rPr>
        <w:t>Spor ze Smlouvy o půjčce</w:t>
      </w:r>
    </w:p>
    <w:p w14:paraId="40B603C8" w14:textId="77777777" w:rsidR="00335CCE" w:rsidRPr="004273DC" w:rsidRDefault="00335CCE" w:rsidP="00335CCE">
      <w:pPr>
        <w:pStyle w:val="Nadpis2"/>
      </w:pPr>
      <w:r w:rsidRPr="004273DC">
        <w:t xml:space="preserve">Mezi Městskou částí Praha 8 a Centrum Palmovka vznikl spor o platnost, resp. neplatnost významné části Smlouvy o půjčce s ohledem na její neurčitost a další nedostatky, které mohou mít podstatný vliv na plnění stran. </w:t>
      </w:r>
      <w:bookmarkStart w:id="22" w:name="_Ref487707513"/>
      <w:bookmarkStart w:id="23" w:name="_Ref487718257"/>
    </w:p>
    <w:p w14:paraId="21BBD4AB" w14:textId="77777777" w:rsidR="00335CCE" w:rsidRPr="004273DC" w:rsidRDefault="00335CCE" w:rsidP="00335CCE">
      <w:pPr>
        <w:pStyle w:val="Nadpis2"/>
      </w:pPr>
      <w:r w:rsidRPr="004273DC">
        <w:t>Bez jazykového výkladu a znalosti vůle Stran není zřejmé, o jaký smluvní typ se jedná;</w:t>
      </w:r>
      <w:bookmarkEnd w:id="22"/>
      <w:r w:rsidRPr="004273DC">
        <w:t xml:space="preserve"> a není jasné, zda Městské části Praha 8 vznikl nárok na zaplacení úroků z prodlení z Celkové čerpané částky, a v případě, že vznikl, za jaké období. </w:t>
      </w:r>
    </w:p>
    <w:bookmarkEnd w:id="20"/>
    <w:bookmarkEnd w:id="21"/>
    <w:bookmarkEnd w:id="23"/>
    <w:p w14:paraId="3DDA62C3" w14:textId="77777777" w:rsidR="00335CCE" w:rsidRPr="004273DC" w:rsidRDefault="00335CCE" w:rsidP="00335CCE">
      <w:pPr>
        <w:pStyle w:val="Nadpis2"/>
        <w:numPr>
          <w:ilvl w:val="0"/>
          <w:numId w:val="0"/>
        </w:numPr>
        <w:rPr>
          <w:b/>
        </w:rPr>
      </w:pPr>
      <w:r w:rsidRPr="004273DC">
        <w:rPr>
          <w:b/>
        </w:rPr>
        <w:t>Oznámení Radě Hlavního města Prahy</w:t>
      </w:r>
    </w:p>
    <w:p w14:paraId="7E0BA6FB" w14:textId="3712EB5E" w:rsidR="00335CCE" w:rsidRPr="004273DC" w:rsidRDefault="00335CCE" w:rsidP="00335CCE">
      <w:pPr>
        <w:pStyle w:val="Nadpis2"/>
      </w:pPr>
      <w:r w:rsidRPr="004273DC">
        <w:t>Městská část Praha 8 z důvodu právní jistoty a naplnění § 13 odst. 4 Statut</w:t>
      </w:r>
      <w:r>
        <w:t>u</w:t>
      </w:r>
      <w:r w:rsidRPr="004273DC">
        <w:t xml:space="preserve"> požádala dopisem </w:t>
      </w:r>
      <w:bookmarkStart w:id="24" w:name="_GoBack"/>
      <w:bookmarkEnd w:id="24"/>
      <w:r w:rsidRPr="004273DC">
        <w:t>Radu Hlavního města Prahy o souhlas s </w:t>
      </w:r>
      <w:proofErr w:type="gramStart"/>
      <w:r w:rsidRPr="004273DC">
        <w:t>výstavbou</w:t>
      </w:r>
      <w:proofErr w:type="gramEnd"/>
      <w:r w:rsidRPr="004273DC">
        <w:t xml:space="preserve"> resp. dostavbou Budovy</w:t>
      </w:r>
      <w:r>
        <w:t xml:space="preserve"> a s navrženým postupem včetně postoupení Smlouvy o výstavbě a vypořádání práv a povinností z výstavby Budovy</w:t>
      </w:r>
      <w:r w:rsidRPr="004273DC">
        <w:t xml:space="preserve">. </w:t>
      </w:r>
    </w:p>
    <w:p w14:paraId="2011EAB7" w14:textId="77777777" w:rsidR="00335CCE" w:rsidRPr="004273DC" w:rsidRDefault="00335CCE" w:rsidP="00335CCE">
      <w:pPr>
        <w:pStyle w:val="Nadpis2"/>
        <w:numPr>
          <w:ilvl w:val="0"/>
          <w:numId w:val="0"/>
        </w:numPr>
        <w:rPr>
          <w:b/>
        </w:rPr>
      </w:pPr>
      <w:r w:rsidRPr="004273DC">
        <w:rPr>
          <w:b/>
        </w:rPr>
        <w:t>Účelová investiční dotace</w:t>
      </w:r>
    </w:p>
    <w:p w14:paraId="6A6627CC" w14:textId="77777777" w:rsidR="00335CCE" w:rsidRPr="004273DC" w:rsidRDefault="00335CCE" w:rsidP="00335CCE">
      <w:pPr>
        <w:pStyle w:val="Nadpis2"/>
      </w:pPr>
      <w:r w:rsidRPr="004273DC">
        <w:t xml:space="preserve">Z důvodu využití části Budovy pro umístění sídla Zdravotnické záchranné služby Hlavní město Praha dne 12. září 2017 usnesením </w:t>
      </w:r>
      <w:r>
        <w:t>R</w:t>
      </w:r>
      <w:r w:rsidRPr="004273DC">
        <w:t xml:space="preserve">ady Hlavního města Prahy, číslo usnesení 2245 a usnesením </w:t>
      </w:r>
      <w:r>
        <w:t>Z</w:t>
      </w:r>
      <w:r w:rsidRPr="004273DC">
        <w:t>astupitelstva Hlavního města Prahy ze dne 14. září 2017, číslo 29/77, odsouhlasila poskytnutí účelové investiční dotace Městské části ve výši 600.000.000,- Kč.</w:t>
      </w:r>
    </w:p>
    <w:p w14:paraId="6C11BB96" w14:textId="77777777" w:rsidR="00335CCE" w:rsidRPr="004273DC" w:rsidRDefault="00335CCE" w:rsidP="00335CCE">
      <w:pPr>
        <w:pStyle w:val="Nadpis2"/>
      </w:pPr>
      <w:r w:rsidRPr="004273DC">
        <w:t>Rada Hlavního města Prahy stanovila následující podmínky pro poskytnutí dotace:</w:t>
      </w:r>
    </w:p>
    <w:p w14:paraId="7F565AB5" w14:textId="77777777" w:rsidR="00335CCE" w:rsidRPr="004273DC" w:rsidRDefault="00335CCE" w:rsidP="00335CCE">
      <w:pPr>
        <w:pStyle w:val="Nadpis3"/>
        <w:tabs>
          <w:tab w:val="num" w:pos="1418"/>
        </w:tabs>
      </w:pPr>
      <w:r w:rsidRPr="004273DC">
        <w:t xml:space="preserve">dotaci bude možno využít na náklady (výdaje) na stavební a případně projektovou činnost související výlučně s výstavbou Budovy; </w:t>
      </w:r>
    </w:p>
    <w:p w14:paraId="2EE2BD47" w14:textId="77777777" w:rsidR="00335CCE" w:rsidRPr="004273DC" w:rsidRDefault="00335CCE" w:rsidP="00335CCE">
      <w:pPr>
        <w:pStyle w:val="Nadpis3"/>
        <w:tabs>
          <w:tab w:val="num" w:pos="1418"/>
        </w:tabs>
      </w:pPr>
      <w:r w:rsidRPr="004273DC">
        <w:t>dostavba Budovy musí být realizována nejpozději do 30. června 2019; dostavbou Budovy se rozumí získání veškerých kolaudačních rozhodnutí k části Budovy určené pro Zdravotnickou záchrannou službu;</w:t>
      </w:r>
    </w:p>
    <w:p w14:paraId="4B841972" w14:textId="77777777" w:rsidR="00335CCE" w:rsidRPr="004273DC" w:rsidRDefault="00335CCE" w:rsidP="00335CCE">
      <w:pPr>
        <w:pStyle w:val="Nadpis3"/>
      </w:pPr>
      <w:r w:rsidRPr="004273DC">
        <w:t>Městská část Praha 8 poskytne část Budovy určenou pro Zdravotnickou záchrannou službu do výpůjčky Zdravotnické záchranné službě, a to bezplatně na dobu 50 let; a</w:t>
      </w:r>
    </w:p>
    <w:p w14:paraId="25D0FD49" w14:textId="77777777" w:rsidR="00335CCE" w:rsidRPr="004273DC" w:rsidRDefault="00335CCE" w:rsidP="00335CCE">
      <w:pPr>
        <w:pStyle w:val="Nadpis3"/>
      </w:pPr>
      <w:r w:rsidRPr="004273DC">
        <w:t>dotace bude ze strany Hlavního města Prahy uvolněna ve 3 splátkách s tím, že první splátka bude uvolněna ve výši 300.000.000,- Kč (slovy: tři sta milionů korun českých) a další 2 splátky budou uvolněny na základě žádosti Městské části Prahy 8 spolu s doložením vyčerpání předchozí části dotace.</w:t>
      </w:r>
    </w:p>
    <w:p w14:paraId="5D91AF50" w14:textId="77777777" w:rsidR="00335CCE" w:rsidRPr="004273DC" w:rsidRDefault="00335CCE" w:rsidP="00335CCE">
      <w:pPr>
        <w:pStyle w:val="Nadpis1"/>
      </w:pPr>
      <w:r w:rsidRPr="004273DC">
        <w:t>rozsah dlužných částek ve vztahu k metrostav alfa</w:t>
      </w:r>
    </w:p>
    <w:p w14:paraId="38FF6914" w14:textId="77777777" w:rsidR="00335CCE" w:rsidRPr="004273DC" w:rsidRDefault="00335CCE" w:rsidP="00335CCE">
      <w:pPr>
        <w:pStyle w:val="Nadpis2"/>
      </w:pPr>
      <w:bookmarkStart w:id="25" w:name="_Hlk506448692"/>
      <w:r w:rsidRPr="004273DC">
        <w:t>Centrum Palmovka dluží Metrostav Alfa:</w:t>
      </w:r>
    </w:p>
    <w:p w14:paraId="396EF603" w14:textId="77777777" w:rsidR="00335CCE" w:rsidRPr="004273DC" w:rsidRDefault="00335CCE" w:rsidP="00335CCE">
      <w:pPr>
        <w:pStyle w:val="Nadpis3"/>
      </w:pPr>
      <w:r w:rsidRPr="004273DC">
        <w:t xml:space="preserve">částku ve výši 179.849.896,20 Kč za realizované milníky provedení hrubé stavby 2., 3., 6., 7. a 8. nadzemního podlaží Budovy; </w:t>
      </w:r>
    </w:p>
    <w:p w14:paraId="70E0B172" w14:textId="77777777" w:rsidR="00335CCE" w:rsidRPr="004273DC" w:rsidRDefault="00335CCE" w:rsidP="00335CCE">
      <w:pPr>
        <w:pStyle w:val="Nadpis3"/>
      </w:pPr>
      <w:r w:rsidRPr="004273DC">
        <w:lastRenderedPageBreak/>
        <w:t>částku odpovídající úrokům z prodlení ve výši 0,05 % denně ode dne 19. května 2015 do zaplacení z částky 179.849.896,20 Kč;</w:t>
      </w:r>
    </w:p>
    <w:p w14:paraId="770452E1" w14:textId="77777777" w:rsidR="00335CCE" w:rsidRPr="004273DC" w:rsidRDefault="00335CCE" w:rsidP="00335CCE">
      <w:pPr>
        <w:pStyle w:val="Nadpis3"/>
      </w:pPr>
      <w:r w:rsidRPr="004273DC">
        <w:t>částku ve výši 2.069.270,- Kč odpovídající nákladům za rozhodčí řízení; a</w:t>
      </w:r>
    </w:p>
    <w:p w14:paraId="7BEC744D" w14:textId="3086BAD3" w:rsidR="00335CCE" w:rsidRPr="004273DC" w:rsidRDefault="00335CCE" w:rsidP="00335CCE">
      <w:pPr>
        <w:pStyle w:val="Nadpis3"/>
        <w:rPr>
          <w:rFonts w:eastAsiaTheme="minorHAnsi"/>
        </w:rPr>
      </w:pPr>
      <w:r w:rsidRPr="004273DC">
        <w:t xml:space="preserve">částku ve výši </w:t>
      </w:r>
      <w:r w:rsidR="00FE735E">
        <w:t xml:space="preserve">určené znaleckým </w:t>
      </w:r>
      <w:proofErr w:type="spellStart"/>
      <w:r w:rsidR="00FE735E">
        <w:t>posudekm</w:t>
      </w:r>
      <w:proofErr w:type="spellEnd"/>
      <w:r w:rsidR="00FE735E">
        <w:t xml:space="preserve"> </w:t>
      </w:r>
      <w:r w:rsidRPr="004273DC">
        <w:t xml:space="preserve">za udržovací práce (tyto náklady jsou požadovány, nebyly uplatněny u </w:t>
      </w:r>
      <w:r>
        <w:t xml:space="preserve">Rozhodčího </w:t>
      </w:r>
      <w:r w:rsidRPr="004273DC">
        <w:t>soudu).</w:t>
      </w:r>
    </w:p>
    <w:bookmarkEnd w:id="25"/>
    <w:p w14:paraId="3936A3D6" w14:textId="77777777" w:rsidR="00335CCE" w:rsidRPr="004273DC" w:rsidRDefault="00335CCE" w:rsidP="00335CCE">
      <w:pPr>
        <w:pStyle w:val="Nadpis1"/>
      </w:pPr>
      <w:r w:rsidRPr="004273DC">
        <w:t>důsledky současného stavu</w:t>
      </w:r>
    </w:p>
    <w:p w14:paraId="003817F2" w14:textId="77777777" w:rsidR="00335CCE" w:rsidRPr="004273DC" w:rsidRDefault="00335CCE" w:rsidP="00335CCE">
      <w:pPr>
        <w:pStyle w:val="Nadpis2"/>
      </w:pPr>
      <w:r w:rsidRPr="004273DC">
        <w:t xml:space="preserve">Na základě současného stavu nelze realizovat dostavbu Budovy bez dohody všech zúčastněných stran, neboť: </w:t>
      </w:r>
    </w:p>
    <w:p w14:paraId="02FB522B" w14:textId="77777777" w:rsidR="00335CCE" w:rsidRPr="004273DC" w:rsidRDefault="00335CCE" w:rsidP="00335CCE">
      <w:pPr>
        <w:pStyle w:val="Nadpis3"/>
      </w:pPr>
      <w:r w:rsidRPr="004273DC">
        <w:t xml:space="preserve">Centrum Palmovka není vlastníkem Budovy, a právně s Budovou nemůže nakládat; </w:t>
      </w:r>
    </w:p>
    <w:p w14:paraId="7E8BF863" w14:textId="77777777" w:rsidR="00335CCE" w:rsidRPr="004273DC" w:rsidRDefault="00335CCE" w:rsidP="00335CCE">
      <w:pPr>
        <w:pStyle w:val="Nadpis3"/>
      </w:pPr>
      <w:r w:rsidRPr="004273DC">
        <w:t xml:space="preserve">jediným subjektem oprávněným nakládat s Budovou je podle Zákona o Hlavním městě Praze a podle Statutu pouze Městská část Praha 8, ta však není smluvní stranou Smlouvy o výstavbě;  </w:t>
      </w:r>
    </w:p>
    <w:p w14:paraId="5AC4E217" w14:textId="77777777" w:rsidR="00335CCE" w:rsidRPr="004273DC" w:rsidRDefault="00335CCE" w:rsidP="00335CCE">
      <w:pPr>
        <w:pStyle w:val="Nadpis3"/>
      </w:pPr>
      <w:r w:rsidRPr="004273DC">
        <w:t xml:space="preserve">přestože Centrum Palmovka není vlastníkem Budovy, je Smlouva o výstavbě (přesto) platná a Centrum Palmovka je povinna ve prospěch Metrostav Alfa uhradit dlužné částky; </w:t>
      </w:r>
    </w:p>
    <w:p w14:paraId="4E227B2D" w14:textId="77777777" w:rsidR="00335CCE" w:rsidRPr="004273DC" w:rsidRDefault="00335CCE" w:rsidP="00335CCE">
      <w:pPr>
        <w:pStyle w:val="Nadpis3"/>
      </w:pPr>
      <w:r w:rsidRPr="004273DC">
        <w:t xml:space="preserve">Městská část Praha 8 je ve vztahu Metrostav Alfa ručitelem za plnění Centrum Palmovka; </w:t>
      </w:r>
    </w:p>
    <w:p w14:paraId="1BDC39A1" w14:textId="77777777" w:rsidR="00335CCE" w:rsidRPr="004273DC" w:rsidRDefault="00335CCE" w:rsidP="00335CCE">
      <w:pPr>
        <w:pStyle w:val="Nadpis3"/>
      </w:pPr>
      <w:r w:rsidRPr="004273DC">
        <w:t xml:space="preserve">Centrum Palmovka nedisponuje finančními prostředky na úhradu dlužné částky; poskytnutí komerčního úvěru bankou nebo třetí osobu je vyloučeno (neboť Centrum Palmovka nemá jakýkoli podstatný majetek, kterým by mohla zajistit případné nároky banky nebo třetího subjektu) a </w:t>
      </w:r>
      <w:r w:rsidRPr="00304D88">
        <w:rPr>
          <w:u w:val="single"/>
        </w:rPr>
        <w:t>jedinou možností financování je další půjčka od Městské části Praha 8</w:t>
      </w:r>
      <w:r w:rsidRPr="004273DC">
        <w:t xml:space="preserve"> za situace, kdy Pozemky a Budova jsou ve vlastnictví Hlavního města Prahy (svěřeno do správy Městské části Praha 8); jinými slovy, aby byly splněny dlužné částky, musí Městská část stejně finanční prostředky uhradit; a </w:t>
      </w:r>
    </w:p>
    <w:p w14:paraId="6A9B8584" w14:textId="77777777" w:rsidR="00335CCE" w:rsidRPr="004273DC" w:rsidRDefault="00335CCE" w:rsidP="00335CCE">
      <w:pPr>
        <w:pStyle w:val="Nadpis3"/>
      </w:pPr>
      <w:r w:rsidRPr="004273DC">
        <w:t xml:space="preserve">Metrostav Alfa souhlasil s tím, že se vzdá nároku na úhradu významné části úroků z prodlení z dlužné částky. </w:t>
      </w:r>
    </w:p>
    <w:p w14:paraId="6B5E0359" w14:textId="77777777" w:rsidR="00335CCE" w:rsidRPr="004273DC" w:rsidRDefault="00335CCE" w:rsidP="00335CCE">
      <w:pPr>
        <w:pStyle w:val="Nadpis2"/>
      </w:pPr>
      <w:r w:rsidRPr="004273DC">
        <w:t xml:space="preserve">Vzhledem k podstatné změně okolností (sídlo Zdravotnické záchranné služby) nebude nikdy možné dostavět Budovu zcela za původních podmínek uvedených ve Smlouvě o výstavbě, a z tohoto důvodu musí být Smlouva o výstavbě po věcné stránce změněna, nepostačí pouhá změna v osobě subjektu na straně objednatele (Městská část Praha 8 namísto Centrum Palmovka). </w:t>
      </w:r>
    </w:p>
    <w:p w14:paraId="10B36AD7" w14:textId="77777777" w:rsidR="00335CCE" w:rsidRPr="004273DC" w:rsidRDefault="00335CCE" w:rsidP="00335CCE">
      <w:pPr>
        <w:pStyle w:val="Nadpis1"/>
      </w:pPr>
      <w:r w:rsidRPr="004273DC">
        <w:t>Další postup</w:t>
      </w:r>
    </w:p>
    <w:p w14:paraId="4E16772C" w14:textId="77777777" w:rsidR="00335CCE" w:rsidRPr="004273DC" w:rsidRDefault="00335CCE" w:rsidP="00335CCE">
      <w:pPr>
        <w:pStyle w:val="Nadpis2"/>
      </w:pPr>
      <w:r w:rsidRPr="004273DC">
        <w:t>Zvažovaný postup předpokládá, že:</w:t>
      </w:r>
    </w:p>
    <w:p w14:paraId="4EE6AE3F" w14:textId="77777777" w:rsidR="00335CCE" w:rsidRPr="004273DC" w:rsidRDefault="00335CCE" w:rsidP="00335CCE">
      <w:pPr>
        <w:pStyle w:val="Nadpis3"/>
      </w:pPr>
      <w:r w:rsidRPr="004273DC">
        <w:t>dojde k dostavbě Budovy;</w:t>
      </w:r>
    </w:p>
    <w:p w14:paraId="02B789DF" w14:textId="77777777" w:rsidR="00335CCE" w:rsidRPr="004273DC" w:rsidRDefault="00335CCE" w:rsidP="00335CCE">
      <w:pPr>
        <w:pStyle w:val="Nadpis3"/>
      </w:pPr>
      <w:r w:rsidRPr="004273DC">
        <w:lastRenderedPageBreak/>
        <w:t>v části Budovy bude umístěné sídlo Zdravotnické záchranné služby, v části pak nové sídlo radnice Městské části Praha 8;</w:t>
      </w:r>
    </w:p>
    <w:p w14:paraId="5630E177" w14:textId="77777777" w:rsidR="00335CCE" w:rsidRPr="004273DC" w:rsidRDefault="00335CCE" w:rsidP="00335CCE">
      <w:pPr>
        <w:pStyle w:val="Nadpis3"/>
      </w:pPr>
      <w:r>
        <w:t>Metrostav Alfa se vzdá významné části úroků z prodlení</w:t>
      </w:r>
      <w:r w:rsidRPr="004273DC">
        <w:t>;</w:t>
      </w:r>
    </w:p>
    <w:p w14:paraId="2C466794" w14:textId="77777777" w:rsidR="00335CCE" w:rsidRPr="004273DC" w:rsidRDefault="00335CCE" w:rsidP="00335CCE">
      <w:pPr>
        <w:pStyle w:val="Nadpis3"/>
      </w:pPr>
      <w:r w:rsidRPr="004273DC">
        <w:t>dojde k postoupení Smlouvy o výstavbě na straně objednatele z Centrum Palmovka na Městskou část Praha 8 (jde tedy fakticky o zpětné postoupení na Městkou část Praha 8, která byla původní smluvní stranou Smlouvy o výstavbě);</w:t>
      </w:r>
    </w:p>
    <w:p w14:paraId="24005EFA" w14:textId="77777777" w:rsidR="00335CCE" w:rsidRPr="004273DC" w:rsidRDefault="00335CCE" w:rsidP="00335CCE">
      <w:pPr>
        <w:pStyle w:val="Nadpis3"/>
      </w:pPr>
      <w:r w:rsidRPr="004273DC">
        <w:t>bude uzavřeno majetkoprávní vypořádání a narovnání sporných vztahů v souvislosti s výstavbou Budovy mezi (i) Centrum Palmovka a (</w:t>
      </w:r>
      <w:proofErr w:type="spellStart"/>
      <w:r w:rsidRPr="004273DC">
        <w:t>ii</w:t>
      </w:r>
      <w:proofErr w:type="spellEnd"/>
      <w:r w:rsidRPr="004273DC">
        <w:t xml:space="preserve">) Městskou částí Praha 8; </w:t>
      </w:r>
    </w:p>
    <w:p w14:paraId="3D4857DD" w14:textId="77777777" w:rsidR="00335CCE" w:rsidRPr="004273DC" w:rsidRDefault="00335CCE" w:rsidP="00335CCE">
      <w:pPr>
        <w:pStyle w:val="Nadpis3"/>
      </w:pPr>
      <w:r w:rsidRPr="004273DC">
        <w:t>bude uzavřeno majetkoprávní vypořádání a narovnání sporných vztahů v souvislosti s výstavbou Budovy mezi (i) Centrum Palmovka a Městskou částí Praha 8 na straně jedné a (</w:t>
      </w:r>
      <w:proofErr w:type="spellStart"/>
      <w:r w:rsidRPr="004273DC">
        <w:t>iii</w:t>
      </w:r>
      <w:proofErr w:type="spellEnd"/>
      <w:r w:rsidRPr="004273DC">
        <w:t>) Metrostav Alfa a Metrostav Development na straně druhé; a</w:t>
      </w:r>
    </w:p>
    <w:p w14:paraId="1B5F9839" w14:textId="77777777" w:rsidR="00335CCE" w:rsidRPr="004273DC" w:rsidRDefault="00335CCE" w:rsidP="00335CCE">
      <w:pPr>
        <w:pStyle w:val="Nadpis3"/>
      </w:pPr>
      <w:r w:rsidRPr="004273DC">
        <w:t xml:space="preserve">bude uzavřen dodatek ke Smlouvě o výstavbě mezi Metrostav Alfa a Městskou částí Praha 8 jako novým objednatelem, na </w:t>
      </w:r>
      <w:proofErr w:type="gramStart"/>
      <w:r w:rsidRPr="004273DC">
        <w:t>základě</w:t>
      </w:r>
      <w:proofErr w:type="gramEnd"/>
      <w:r w:rsidRPr="004273DC">
        <w:t xml:space="preserve"> které bude ujednána příslušná věcná změna Smlouvy o výstavbě, zohledňující změnu účelového určení Budovy v důsledku sídla Zdravotnické záchranné služby a další související otázky.</w:t>
      </w:r>
    </w:p>
    <w:p w14:paraId="3D5F7B81" w14:textId="77777777" w:rsidR="00335CCE" w:rsidRPr="004273DC" w:rsidRDefault="00335CCE" w:rsidP="00335CCE">
      <w:pPr>
        <w:pStyle w:val="Nadpis2"/>
      </w:pPr>
      <w:r w:rsidRPr="004273DC">
        <w:t>Při dalším postupu bude nadále kladen důraz na soulad s příslušnými právními předpisy, a to zejména Zákonem o Hlavním městě Praze, Statutem, Zákonem o zadávání veřejných zakázek a Občanským zákoníkem.</w:t>
      </w:r>
    </w:p>
    <w:p w14:paraId="1311D191" w14:textId="77777777" w:rsidR="00335CCE" w:rsidRPr="004273DC" w:rsidRDefault="00335CCE" w:rsidP="00335CCE">
      <w:pPr>
        <w:pStyle w:val="Nadpis1"/>
      </w:pPr>
      <w:r w:rsidRPr="004273DC">
        <w:t>Důsledky neřešení současného stavu</w:t>
      </w:r>
    </w:p>
    <w:p w14:paraId="2DA16904" w14:textId="77777777" w:rsidR="00335CCE" w:rsidRPr="004273DC" w:rsidRDefault="00335CCE" w:rsidP="00335CCE">
      <w:pPr>
        <w:pStyle w:val="Nadpis2"/>
      </w:pPr>
      <w:bookmarkStart w:id="26" w:name="_Hlk507260673"/>
      <w:r w:rsidRPr="004273DC">
        <w:t>Pokud nebude přijat navržený postup nebo jiný vhodný postup, hrozí:</w:t>
      </w:r>
    </w:p>
    <w:p w14:paraId="244680EB" w14:textId="77777777" w:rsidR="00335CCE" w:rsidRPr="004273DC" w:rsidRDefault="00335CCE" w:rsidP="00335CCE">
      <w:pPr>
        <w:pStyle w:val="Nadpis3"/>
      </w:pPr>
      <w:r w:rsidRPr="004273DC">
        <w:t>ztráta dotace ve výši 600.000.000,- Kč a s tím spojené škody na majetku Městské části Praha 8;</w:t>
      </w:r>
    </w:p>
    <w:p w14:paraId="3FCC6F45" w14:textId="77777777" w:rsidR="00335CCE" w:rsidRPr="004273DC" w:rsidRDefault="00335CCE" w:rsidP="00335CCE">
      <w:pPr>
        <w:pStyle w:val="Nadpis3"/>
      </w:pPr>
      <w:r w:rsidRPr="004273DC">
        <w:t xml:space="preserve">akcelerace nároků Metrostav Alfa proti Centrum Palmovka (případná insolvence Centrum Palmovka a znehodnocení hodnoty podílu Městské části Praha 8 v Centrum Palmovka); </w:t>
      </w:r>
    </w:p>
    <w:p w14:paraId="20D570E0" w14:textId="77777777" w:rsidR="00335CCE" w:rsidRPr="004273DC" w:rsidRDefault="00335CCE" w:rsidP="00335CCE">
      <w:pPr>
        <w:pStyle w:val="Nadpis3"/>
      </w:pPr>
      <w:r w:rsidRPr="004273DC">
        <w:t>neochota Metrostav Alfa vzdát se nároku na část úroků z prodlení (tak jak nabízí při současném návrhu řešení)</w:t>
      </w:r>
      <w:r>
        <w:t>, jinými slovy ú</w:t>
      </w:r>
      <w:r w:rsidRPr="004273DC">
        <w:t>rok</w:t>
      </w:r>
      <w:r>
        <w:t>y</w:t>
      </w:r>
      <w:r w:rsidRPr="004273DC">
        <w:t xml:space="preserve"> z prodlení ve výši 0,05 % denně ode dne 19. května 2015 do zaplacení </w:t>
      </w:r>
      <w:r>
        <w:t xml:space="preserve">budou hrazeny </w:t>
      </w:r>
      <w:r w:rsidRPr="004273DC">
        <w:t>z </w:t>
      </w:r>
      <w:r>
        <w:t xml:space="preserve">celé výše dluhu ve výši </w:t>
      </w:r>
      <w:r w:rsidRPr="004273DC">
        <w:t>179.849.896,20 Kč</w:t>
      </w:r>
      <w:r>
        <w:t xml:space="preserve">, nikoli z částky </w:t>
      </w:r>
      <w:r w:rsidRPr="004273DC">
        <w:t>17.985.000,- Kč</w:t>
      </w:r>
      <w:r>
        <w:t xml:space="preserve"> (žalovaná částka)</w:t>
      </w:r>
      <w:r w:rsidRPr="004273DC">
        <w:t>;</w:t>
      </w:r>
    </w:p>
    <w:p w14:paraId="37580DCD" w14:textId="77777777" w:rsidR="00335CCE" w:rsidRPr="004273DC" w:rsidRDefault="00335CCE" w:rsidP="00335CCE">
      <w:pPr>
        <w:pStyle w:val="Nadpis3"/>
      </w:pPr>
      <w:r w:rsidRPr="004273DC">
        <w:t xml:space="preserve">možnost Metrostav Alfa případně požadovat po Centrum Palmovka (Městské části Praha 8) ušlý zisk; </w:t>
      </w:r>
    </w:p>
    <w:p w14:paraId="481655CD" w14:textId="77777777" w:rsidR="00335CCE" w:rsidRPr="004273DC" w:rsidRDefault="00335CCE" w:rsidP="00335CCE">
      <w:pPr>
        <w:pStyle w:val="Nadpis3"/>
      </w:pPr>
      <w:r w:rsidRPr="004273DC">
        <w:t xml:space="preserve">možná přímá odpovědnost Městské části Praha 8 z důvodu ručení; a </w:t>
      </w:r>
    </w:p>
    <w:p w14:paraId="1BE67BA2" w14:textId="77777777" w:rsidR="00335CCE" w:rsidRPr="004273DC" w:rsidRDefault="00335CCE" w:rsidP="00335CCE">
      <w:pPr>
        <w:pStyle w:val="Nadpis3"/>
      </w:pPr>
      <w:r w:rsidRPr="004273DC">
        <w:t xml:space="preserve">vznik dalších nákladů (např. zejména na odstranění poškození materiálů, změny výrobků, zvýšení cen subdodavatelů a kompenzaci ztrát subdodavatelů atp.), když rozsah těchto nákladů nelze přesně vyčíslit. </w:t>
      </w:r>
    </w:p>
    <w:bookmarkEnd w:id="26"/>
    <w:p w14:paraId="7421A760" w14:textId="77777777" w:rsidR="00335CCE" w:rsidRPr="004273DC" w:rsidRDefault="00335CCE" w:rsidP="00335CCE">
      <w:pPr>
        <w:pStyle w:val="Nadpis2"/>
      </w:pPr>
      <w:r w:rsidRPr="004273DC">
        <w:lastRenderedPageBreak/>
        <w:t>Vzhledem ke sjednaným rozhodčím doložkám, a zkušenosti z řízení u Rozhodčího soudu, se jeví jakýkoli spor u Rozhodčího soudu jako komplikovaný.</w:t>
      </w:r>
    </w:p>
    <w:p w14:paraId="4A1F108D" w14:textId="77777777" w:rsidR="00335CCE" w:rsidRPr="004273DC" w:rsidRDefault="00335CCE" w:rsidP="00335CCE">
      <w:pPr>
        <w:pStyle w:val="Nadpis1"/>
      </w:pPr>
      <w:bookmarkStart w:id="27" w:name="_Hlk507250050"/>
      <w:r w:rsidRPr="004273DC">
        <w:t>postoupení smlouvy o výstavbě</w:t>
      </w:r>
      <w:bookmarkEnd w:id="2"/>
    </w:p>
    <w:p w14:paraId="24CAC2AC" w14:textId="77777777" w:rsidR="00335CCE" w:rsidRPr="004273DC" w:rsidRDefault="00335CCE" w:rsidP="00335CCE">
      <w:pPr>
        <w:pStyle w:val="Nadpis2"/>
        <w:numPr>
          <w:ilvl w:val="0"/>
          <w:numId w:val="0"/>
        </w:numPr>
        <w:rPr>
          <w:b/>
        </w:rPr>
      </w:pPr>
      <w:bookmarkStart w:id="28" w:name="_Toc506911619"/>
      <w:bookmarkStart w:id="29" w:name="_Toc506911620"/>
      <w:bookmarkStart w:id="30" w:name="_Toc506911621"/>
      <w:bookmarkStart w:id="31" w:name="_Toc506911622"/>
      <w:bookmarkStart w:id="32" w:name="_Ref486320659"/>
      <w:bookmarkEnd w:id="28"/>
      <w:bookmarkEnd w:id="29"/>
      <w:bookmarkEnd w:id="30"/>
      <w:bookmarkEnd w:id="31"/>
      <w:r w:rsidRPr="004273DC">
        <w:rPr>
          <w:b/>
        </w:rPr>
        <w:t>Obecně</w:t>
      </w:r>
    </w:p>
    <w:p w14:paraId="119B04F9" w14:textId="77777777" w:rsidR="00335CCE" w:rsidRPr="004273DC" w:rsidRDefault="00335CCE" w:rsidP="00335CCE">
      <w:pPr>
        <w:pStyle w:val="Nadpis2"/>
      </w:pPr>
      <w:r w:rsidRPr="004273DC">
        <w:t xml:space="preserve">Podle Rozhodčího nálezu ve spojení s Přezkumným rozhodčím nálezem je Smlouva o výstavbě platná. Přezkumný rozhodčí nález výslovně uvádí, že skutečnost, že Centrum Palmovka není vlastníkem Budovy, nejen že nezpůsobuje její neplatnost, ale ani zánik závazku (povinnost realizovat dostavbu Budovy a s tím související práva a povinnosti) pro nemožnost plnění. </w:t>
      </w:r>
    </w:p>
    <w:p w14:paraId="031A78B0" w14:textId="77777777" w:rsidR="00335CCE" w:rsidRPr="004273DC" w:rsidRDefault="00335CCE" w:rsidP="00335CCE">
      <w:pPr>
        <w:pStyle w:val="Nadpis2"/>
      </w:pPr>
      <w:r w:rsidRPr="004273DC">
        <w:t xml:space="preserve">Smlouva o výstavbě tedy zavazuje Centrum Palmovka, a </w:t>
      </w:r>
      <w:proofErr w:type="gramStart"/>
      <w:r w:rsidRPr="004273DC">
        <w:t>to</w:t>
      </w:r>
      <w:proofErr w:type="gramEnd"/>
      <w:r w:rsidRPr="004273DC">
        <w:t xml:space="preserve"> přestože Centrum Palmovka není vlastníkem Pozemků ani Budovy. </w:t>
      </w:r>
    </w:p>
    <w:p w14:paraId="29949C34" w14:textId="77777777" w:rsidR="00335CCE" w:rsidRPr="004273DC" w:rsidRDefault="00335CCE" w:rsidP="00335CCE">
      <w:pPr>
        <w:pStyle w:val="Nadpis2"/>
      </w:pPr>
      <w:r w:rsidRPr="004273DC">
        <w:t xml:space="preserve">Jedinou možností (při zohlednění výše uvedených skutečností a předpokladů) je tedy postoupení Smlouvy o výstavbě z Centrum Palmovka na Městskou část, když je zřejmé, že Pozemky nebyly převedeny na Centrum Palmovka. Dále je nezbytné převést práva a povinnosti z veřejnoprávních rozhodnutí a povolení. </w:t>
      </w:r>
    </w:p>
    <w:p w14:paraId="45394D6F" w14:textId="77777777" w:rsidR="00335CCE" w:rsidRPr="004273DC" w:rsidRDefault="00335CCE" w:rsidP="00335CCE">
      <w:pPr>
        <w:pStyle w:val="Nadpis2"/>
        <w:numPr>
          <w:ilvl w:val="0"/>
          <w:numId w:val="0"/>
        </w:numPr>
        <w:rPr>
          <w:b/>
        </w:rPr>
      </w:pPr>
      <w:r w:rsidRPr="004273DC">
        <w:rPr>
          <w:b/>
        </w:rPr>
        <w:t>Postoupení Smlouvy o výstavbě</w:t>
      </w:r>
    </w:p>
    <w:p w14:paraId="425C844D" w14:textId="77777777" w:rsidR="00335CCE" w:rsidRPr="004273DC" w:rsidRDefault="00335CCE" w:rsidP="00335CCE">
      <w:pPr>
        <w:pStyle w:val="Nadpis2"/>
      </w:pPr>
      <w:r w:rsidRPr="004273DC">
        <w:t xml:space="preserve">Postoupením Smlouvy o výstavbě na Městskou část Praha 8 dojde ke sjednocení osoby objednatele podle Smlouvy o výstavbě s osobou oprávněnou činit právní jednání v souvislosti s nakládáním s Pozemky. </w:t>
      </w:r>
    </w:p>
    <w:p w14:paraId="724C43CE" w14:textId="77777777" w:rsidR="00335CCE" w:rsidRPr="004273DC" w:rsidRDefault="00335CCE" w:rsidP="00335CCE">
      <w:pPr>
        <w:pStyle w:val="Nadpis2"/>
      </w:pPr>
      <w:r w:rsidRPr="004273DC">
        <w:t xml:space="preserve">Na základě Smlouvy o postoupení postoupí Centrum Palmovka v souladu s § 1895 Občanského zákoníku na Městskou část Praha 8 Smlouvu o výstavbě, a s tím převede na Městskou část Praha 8 veškerá práva a povinnosti Centrum Palmovka ze Smlouvy o výstavbě, a to v rozsahu, v jakém Smlouva o výstavbě nebyla ke dni účinnosti postoupení Smlouvy o výstavbě (uveřejnění v registru smluv) splněna nebo nezanikla jiným způsobem než splněním. </w:t>
      </w:r>
    </w:p>
    <w:p w14:paraId="72D21AC3" w14:textId="77777777" w:rsidR="00335CCE" w:rsidRPr="004273DC" w:rsidRDefault="00335CCE" w:rsidP="00335CCE">
      <w:pPr>
        <w:pStyle w:val="Nadpis2"/>
      </w:pPr>
      <w:r w:rsidRPr="004273DC">
        <w:t xml:space="preserve">Předmětem postoupení budou veškerá práva a povinnosti včetně práv a povinností existujících i budoucích, splatných i nesplatných, podmíněných i nepodmíněných. Městská část Praha 8 Smlouvu o výstavbě a veškerá práva a povinnosti Centrum Palmovka ze Smlouvy o výstavbě, v rozsahu, v jakém Smlouva o výstavbě nebyla ke dni účinnosti splněna nebo nezanikla jiným způsobem než splněním, přijme, včetně práv a povinností existujících i budoucích, splatných i nesplatných, podmíněných i nepodmíněných. </w:t>
      </w:r>
    </w:p>
    <w:p w14:paraId="01599E75" w14:textId="77777777" w:rsidR="00335CCE" w:rsidRPr="004273DC" w:rsidRDefault="00335CCE" w:rsidP="00335CCE">
      <w:pPr>
        <w:pStyle w:val="Nadpis2"/>
      </w:pPr>
      <w:r w:rsidRPr="004273DC">
        <w:t xml:space="preserve">Městská část Praha 8 bude ode dne účinnosti vystupovat jako objednatel ze Smlouvy o výstavbě v plném rozsahu práv a povinností podle Smlouvy o výstavbě. Předmětem postoupení budou veškeré smluvní podmínky Smlouvy o výstavbě, včetně předmětu plnění, ceny a platebních podmínek, termínů, místa a způsobu plnění, standardů kvality, předání a převzetí Budovy, záruky, odpovědnosti za vady a sankčních ustanovení a všechna další ujednání Smlouvy o výstavbě. </w:t>
      </w:r>
    </w:p>
    <w:p w14:paraId="6620AC78" w14:textId="77777777" w:rsidR="00335CCE" w:rsidRPr="004273DC" w:rsidRDefault="00335CCE" w:rsidP="00335CCE">
      <w:pPr>
        <w:pStyle w:val="Nadpis2"/>
      </w:pPr>
      <w:r w:rsidRPr="004273DC">
        <w:t xml:space="preserve">Bez zbytečného odkladu po dni předání Budovy a Pozemků Městská část Praha 8 a Centrum Palmovka zajistí pasportizaci Budovy. </w:t>
      </w:r>
    </w:p>
    <w:p w14:paraId="0E8559C1" w14:textId="77777777" w:rsidR="00335CCE" w:rsidRPr="004273DC" w:rsidRDefault="00335CCE" w:rsidP="00335CCE">
      <w:pPr>
        <w:pStyle w:val="Nadpis2"/>
      </w:pPr>
      <w:r w:rsidRPr="004273DC">
        <w:lastRenderedPageBreak/>
        <w:t xml:space="preserve">Městská část Praha 8 a Centrum Palmovka budou dále jednat o možném postoupení a převodu dalších smluv, které jsou nezbytné pro dokončení výstavby Budovy, včetně jejího následného provozování, které tvoří spolu s převáděnými právy a povinnostmi funkční a provozní celek, a to tak, aby Městská část Praha 8 mohla vykonávat veškerá práva a povinnosti jako tato práva a povinnosti vykonávala Centrum Palmovka. </w:t>
      </w:r>
    </w:p>
    <w:p w14:paraId="2CD0FE1B" w14:textId="77777777" w:rsidR="00335CCE" w:rsidRPr="004273DC" w:rsidRDefault="00335CCE" w:rsidP="00335CCE">
      <w:pPr>
        <w:pStyle w:val="Zkladntext"/>
        <w:ind w:left="0"/>
        <w:rPr>
          <w:b/>
        </w:rPr>
      </w:pPr>
      <w:r w:rsidRPr="004273DC">
        <w:rPr>
          <w:b/>
        </w:rPr>
        <w:t>Postoupení práv a povinností z vydaných rozhodnutí</w:t>
      </w:r>
    </w:p>
    <w:p w14:paraId="68B1261A" w14:textId="77777777" w:rsidR="00335CCE" w:rsidRPr="004273DC" w:rsidRDefault="00335CCE" w:rsidP="00335CCE">
      <w:pPr>
        <w:pStyle w:val="Nadpis2"/>
      </w:pPr>
      <w:r w:rsidRPr="004273DC">
        <w:t>Ve Smlouvě o postoupení dochází i k převodu vydaných rozhodnutí (povolení a rozhodnutí vydaná ve prospěch nebo postoupená na Centrum Palmovka jako na oprávněný subjekt vztahující se k výstavbě Budovy) a souvisejících rozhodnutí (veškeré další rozhodnutí a dokumenty vydané ve prospěch nebo postoupené na Centrum Palmovka jako na oprávněný subjekt, které byly vyhotovené v souvislosti s každým vydaným rozhodnutím, zejména veškerá vyjádření, souhlasná stanoviska orgánů veřejné moci, vlastníků nemovitých věcí dotčených výstavbou Budovy a podobně)</w:t>
      </w:r>
      <w:r>
        <w:t>.</w:t>
      </w:r>
    </w:p>
    <w:p w14:paraId="6F0F9A8B" w14:textId="77777777" w:rsidR="00335CCE" w:rsidRPr="004273DC" w:rsidRDefault="00335CCE" w:rsidP="00335CCE">
      <w:pPr>
        <w:pStyle w:val="Nadpis2"/>
      </w:pPr>
      <w:r w:rsidRPr="004273DC">
        <w:t xml:space="preserve">Podle Smlouvy o postoupení Centrum Palmovka v největším možném rozsahu přípustném platnými a účinnými právními předpisy převádí na Městskou část Praha 8 rozhodnutí (zejména práva a povinnosti z nich) a související rozhodnutí (zejména práva a povinnosti z nich). Městská část Praha 8 v největším možném rozsahu přípustném platnými a účinnými právními předpisy přijímá převáděná rozhodnutí (zejména práva a povinnosti z nich) a převáděná související rozhodnutí (zejména práva a povinnosti z nich). </w:t>
      </w:r>
    </w:p>
    <w:p w14:paraId="44A8C44D" w14:textId="77777777" w:rsidR="00335CCE" w:rsidRPr="004273DC" w:rsidRDefault="00335CCE" w:rsidP="00335CCE">
      <w:pPr>
        <w:pStyle w:val="Nadpis2"/>
      </w:pPr>
      <w:r w:rsidRPr="004273DC">
        <w:t>Bez zbytečného odkladu po dni účinnosti Městská část Praha 8 a Centrum Palmovka společně písemně oznámí stavebnímu úřadu (a jiným orgánům veřejné moci), že došlo k převodu rozhodnutí a souvisejících rozhodnutí (včetně převodu práv a povinností z rozhodnutí a souvisejících rozhodnutí) a zajistí, aby stavební úřad nadále jednal jako s výlučným oprávněným subjektem z rozhodnutí a souvisejících rozhodnutí pouze s Městskou částí. Centrum Palmovka rovněž předá Městské části Praha 8 veškerá rozhodnutí, jakož i související rozhodnutí bez zbytečného odkladu po dni účinnosti s tím, že o předání a převzetí rozhodnutí a souvisejících rozhodnutí bude stranami vyhotoven a podepsán předávací protokol.</w:t>
      </w:r>
    </w:p>
    <w:p w14:paraId="197F96EA" w14:textId="77777777" w:rsidR="00335CCE" w:rsidRPr="004273DC" w:rsidRDefault="00335CCE" w:rsidP="00335CCE">
      <w:pPr>
        <w:pStyle w:val="Nadpis2"/>
      </w:pPr>
      <w:r w:rsidRPr="004273DC">
        <w:t>Po dni účinnosti bude v největším možném rozsahu přípustném platnými a účinnými právními předpisy jediným oprávněným subjektem z rozhodnutí a souvisejících rozhodnutí pouze Městská část Praha 8; Centrum Palmovka v této souvislosti nebude nadále subjektem jakýchkoli práv z rozhodnutí a souvisejících rozhodnutí.</w:t>
      </w:r>
    </w:p>
    <w:bookmarkEnd w:id="3"/>
    <w:bookmarkEnd w:id="32"/>
    <w:p w14:paraId="4ECD59C9" w14:textId="28F1EB12" w:rsidR="00335CCE" w:rsidRPr="004273DC" w:rsidRDefault="00FE735E" w:rsidP="00335CCE">
      <w:pPr>
        <w:pStyle w:val="Nadpis2"/>
        <w:numPr>
          <w:ilvl w:val="0"/>
          <w:numId w:val="0"/>
        </w:numPr>
        <w:rPr>
          <w:b/>
        </w:rPr>
      </w:pPr>
      <w:r>
        <w:rPr>
          <w:b/>
        </w:rPr>
        <w:t>Náhrada</w:t>
      </w:r>
    </w:p>
    <w:p w14:paraId="36FA5880" w14:textId="299C9A49" w:rsidR="00335CCE" w:rsidRPr="004273DC" w:rsidRDefault="00335CCE" w:rsidP="00335CCE">
      <w:pPr>
        <w:pStyle w:val="Nadpis2"/>
      </w:pPr>
      <w:r w:rsidRPr="004273DC">
        <w:t xml:space="preserve">K postoupení Smlouvy o výstavbě a k převodu práv z rozhodnutí a souvisejících rozhodnutí dojde za </w:t>
      </w:r>
      <w:r w:rsidR="00FE735E">
        <w:t xml:space="preserve">náhradu </w:t>
      </w:r>
      <w:r w:rsidRPr="004273DC">
        <w:t>(dále jen "</w:t>
      </w:r>
      <w:r w:rsidR="00FE735E" w:rsidRPr="00FE735E">
        <w:rPr>
          <w:b/>
        </w:rPr>
        <w:t>Náhrada</w:t>
      </w:r>
      <w:r w:rsidRPr="004273DC">
        <w:t xml:space="preserve">"). </w:t>
      </w:r>
    </w:p>
    <w:p w14:paraId="3D21F03B" w14:textId="4B63C779" w:rsidR="00335CCE" w:rsidRPr="004273DC" w:rsidRDefault="00FE735E" w:rsidP="00335CCE">
      <w:pPr>
        <w:pStyle w:val="Nadpis2"/>
      </w:pPr>
      <w:r>
        <w:t>Náhrada</w:t>
      </w:r>
      <w:r w:rsidR="00335CCE" w:rsidRPr="004273DC">
        <w:t xml:space="preserve"> zohledňuje (i) finanční plnění, které Centrum Palmovka uhradila Metrostav Alfa podle Smlouvy o výstavbě a (i) náklady, které vznikly Centrum Palmovka v důsledku jejích provozních potřeb </w:t>
      </w:r>
      <w:r>
        <w:t xml:space="preserve">a dalších nákladů </w:t>
      </w:r>
      <w:r w:rsidR="00335CCE" w:rsidRPr="004273DC">
        <w:t xml:space="preserve">v souvislosti s plněním Smlouvy o výstavbě. </w:t>
      </w:r>
    </w:p>
    <w:p w14:paraId="5A09D715" w14:textId="388EF8FE" w:rsidR="00335CCE" w:rsidRPr="004273DC" w:rsidRDefault="00335CCE" w:rsidP="00335CCE">
      <w:pPr>
        <w:pStyle w:val="Nadpis2"/>
      </w:pPr>
      <w:r w:rsidRPr="004273DC">
        <w:lastRenderedPageBreak/>
        <w:t xml:space="preserve">Městská část je povinna uhradit Centrum Palmovka </w:t>
      </w:r>
      <w:r w:rsidR="00FE735E">
        <w:t xml:space="preserve">Náhradu </w:t>
      </w:r>
      <w:r w:rsidRPr="004273DC">
        <w:t xml:space="preserve">za podmínek uvedených v dohodě o narovnání uzavírané mezi Centrum Palmovka a Městskou částí současně se Smlouvou o postoupení (viz níže). </w:t>
      </w:r>
    </w:p>
    <w:bookmarkEnd w:id="27"/>
    <w:p w14:paraId="468D1DB1" w14:textId="77777777" w:rsidR="00335CCE" w:rsidRPr="004273DC" w:rsidRDefault="00335CCE" w:rsidP="00335CCE">
      <w:pPr>
        <w:pStyle w:val="Nadpis1"/>
      </w:pPr>
      <w:r w:rsidRPr="004273DC">
        <w:t>narovnání vztahů mezi městskou částí a centrum palmovka ze smlouvy o půjčce</w:t>
      </w:r>
      <w:bookmarkEnd w:id="4"/>
      <w:r w:rsidRPr="004273DC">
        <w:t xml:space="preserve"> a z výstavby</w:t>
      </w:r>
    </w:p>
    <w:p w14:paraId="2EB8D9B5" w14:textId="77777777" w:rsidR="00335CCE" w:rsidRPr="004273DC" w:rsidRDefault="00335CCE" w:rsidP="00335CCE">
      <w:pPr>
        <w:pStyle w:val="Nadpis2"/>
        <w:numPr>
          <w:ilvl w:val="0"/>
          <w:numId w:val="0"/>
        </w:numPr>
        <w:rPr>
          <w:b/>
        </w:rPr>
      </w:pPr>
      <w:r w:rsidRPr="004273DC">
        <w:rPr>
          <w:b/>
        </w:rPr>
        <w:t>Obecně</w:t>
      </w:r>
    </w:p>
    <w:p w14:paraId="0484B665" w14:textId="77777777" w:rsidR="00335CCE" w:rsidRPr="004273DC" w:rsidRDefault="00335CCE" w:rsidP="00335CCE">
      <w:pPr>
        <w:pStyle w:val="Nadpis2"/>
      </w:pPr>
      <w:r w:rsidRPr="004273DC">
        <w:t xml:space="preserve">Mezi Centrum Palmovka a Městskou částí Praha 8 jsou (případně byly) sporné otázky </w:t>
      </w:r>
    </w:p>
    <w:p w14:paraId="7255F8A9" w14:textId="77777777" w:rsidR="00335CCE" w:rsidRPr="004273DC" w:rsidRDefault="00335CCE" w:rsidP="00335CCE">
      <w:pPr>
        <w:pStyle w:val="Nadpis3"/>
      </w:pPr>
      <w:r w:rsidRPr="004273DC">
        <w:t xml:space="preserve">platnosti Smlouvy o půjčce a s tím </w:t>
      </w:r>
      <w:proofErr w:type="gramStart"/>
      <w:r w:rsidRPr="004273DC">
        <w:t>spojené</w:t>
      </w:r>
      <w:proofErr w:type="gramEnd"/>
      <w:r w:rsidRPr="004273DC">
        <w:t xml:space="preserve"> práva a povinnosti stran (spor nebyl vyřešen); a </w:t>
      </w:r>
    </w:p>
    <w:p w14:paraId="67315F88" w14:textId="77777777" w:rsidR="00335CCE" w:rsidRPr="004273DC" w:rsidRDefault="00335CCE" w:rsidP="00335CCE">
      <w:pPr>
        <w:pStyle w:val="Nadpis3"/>
      </w:pPr>
      <w:r w:rsidRPr="004273DC">
        <w:t xml:space="preserve">vypořádání z výstavby Budovy (když vlastníkem Budovy není Centrum Palmovka) (tedy vypořádání vzájemných práv a povinností vzniklých v důsledku dosavadní výstavby Budovy a plnění Smlouvy o výstavbě ze strany Centrum Palmovka a postoupení Smlouvy o výstavbě (práv a povinností objednatele ze Smlouvy o výstavbě) z Centrum Palmovka zpět na Městskou část Praha 8 na základě Smlouvy o postoupení). </w:t>
      </w:r>
    </w:p>
    <w:p w14:paraId="6C2AD313" w14:textId="77777777" w:rsidR="00335CCE" w:rsidRPr="004273DC" w:rsidRDefault="00335CCE" w:rsidP="00335CCE">
      <w:pPr>
        <w:pStyle w:val="Nadpis2"/>
      </w:pPr>
      <w:r w:rsidRPr="004273DC">
        <w:t>Navrhovaným řešením je uzavření Dohody o narovnání mezi Městskou částí Praha 8 a Centrum Palmovka (dále jen "</w:t>
      </w:r>
      <w:r w:rsidRPr="004273DC">
        <w:rPr>
          <w:b/>
        </w:rPr>
        <w:t>Dohoda o narovnání [Centrum Palmovka]</w:t>
      </w:r>
      <w:r w:rsidRPr="004273DC">
        <w:t>").</w:t>
      </w:r>
    </w:p>
    <w:p w14:paraId="41F0649B" w14:textId="77777777" w:rsidR="00335CCE" w:rsidRPr="004273DC" w:rsidRDefault="00335CCE" w:rsidP="00335CCE">
      <w:pPr>
        <w:pStyle w:val="Nadpis2"/>
        <w:numPr>
          <w:ilvl w:val="0"/>
          <w:numId w:val="0"/>
        </w:numPr>
        <w:rPr>
          <w:b/>
        </w:rPr>
      </w:pPr>
      <w:r w:rsidRPr="004273DC">
        <w:rPr>
          <w:b/>
        </w:rPr>
        <w:t>Narovnání</w:t>
      </w:r>
    </w:p>
    <w:p w14:paraId="3E506CF2" w14:textId="77777777" w:rsidR="00335CCE" w:rsidRPr="004273DC" w:rsidRDefault="00335CCE" w:rsidP="00335CCE">
      <w:pPr>
        <w:pStyle w:val="Nadpis2"/>
      </w:pPr>
      <w:r w:rsidRPr="004273DC">
        <w:t xml:space="preserve">V Dohodě o narovnání [Centrum Palmovka] strany sjednávají narovnání sporných práv a povinností; a následné finanční vypořádání. </w:t>
      </w:r>
    </w:p>
    <w:p w14:paraId="2E704333" w14:textId="77777777" w:rsidR="00335CCE" w:rsidRPr="004273DC" w:rsidRDefault="00335CCE" w:rsidP="00335CCE">
      <w:pPr>
        <w:pStyle w:val="Nadpis2"/>
      </w:pPr>
      <w:r w:rsidRPr="004273DC">
        <w:t>Úmyslem stran je uzavřít komplexní narovnání všech práv a povinností vyplývajících ze Smlouvy o půjčce; a komplexní vypořádání vzájemných práv a povinností vzniklých v důsledku dosavadní výstavby Budovy a plnění Smlouvy o výstavbě ze strany Centrum Palmovka a postoupení Smlouvy o výstavbě (práv a povinností objednatele ze Smlouvy o výstavbě) z Centrum Palmovka zpět na Městskou část Praha 8 na základě Smlouvy o postoupení.</w:t>
      </w:r>
    </w:p>
    <w:p w14:paraId="23CED9B7" w14:textId="77777777" w:rsidR="00335CCE" w:rsidRPr="004273DC" w:rsidRDefault="00335CCE" w:rsidP="00335CCE">
      <w:pPr>
        <w:pStyle w:val="Nadpis2"/>
      </w:pPr>
      <w:r w:rsidRPr="004273DC">
        <w:t xml:space="preserve">Ve vztahu ke Smlouvě o půjčce se v Dohodě o narovnání [Centrum Palmovka] potvrzuje platnost Smlouvy o půjčce a dále v rámci narovnání vzájemných práv a povinností ze Smlouvy o půjčce nebo z ní vyplývajících Centrum Palmovka výslovně uznává nárok Městské části Praha 8 na zpětné zaplacení Celkové čerpané částky ze strany Centrum Palmovka ve prospěch Městské části Praha 8 a souhlasí s jejím vypořádáním; a ve vztahu k úrokům z prodlení z Celkové čerpané částky Centrum Palmovka s ohledem na platnost Smlouvy o půjčce a uskutečněné smírčí jednání výslovně uznává, že nárok na zaplacení úroků z prodlení z Celkové čerpané částky vznikl. </w:t>
      </w:r>
    </w:p>
    <w:p w14:paraId="51830152" w14:textId="77777777" w:rsidR="00335CCE" w:rsidRPr="004273DC" w:rsidRDefault="00335CCE" w:rsidP="00335CCE">
      <w:pPr>
        <w:pStyle w:val="Nadpis2"/>
      </w:pPr>
      <w:bookmarkStart w:id="33" w:name="_Ref487546486"/>
      <w:r w:rsidRPr="004273DC">
        <w:t xml:space="preserve">Ve vztahu k výstavbě Budovy Městská část Praha 8 a Centrum Palmovka v souladu s usnesením Obvodního soudu pro Prahu 8 ze dne 5. října 2017 číslo jednací </w:t>
      </w:r>
      <w:r w:rsidRPr="004273DC">
        <w:rPr>
          <w:rFonts w:eastAsia="Times New Roman"/>
          <w:lang w:eastAsia="cs-CZ"/>
        </w:rPr>
        <w:t xml:space="preserve">27 C 258/2015-385 </w:t>
      </w:r>
      <w:r w:rsidRPr="004273DC">
        <w:t xml:space="preserve">berou na vědomí a uznávají, že vlastníkem Budovy jako součásti pozemku </w:t>
      </w:r>
      <w:proofErr w:type="spellStart"/>
      <w:r w:rsidRPr="004273DC">
        <w:t>parc</w:t>
      </w:r>
      <w:proofErr w:type="spellEnd"/>
      <w:r w:rsidRPr="004273DC">
        <w:t xml:space="preserve">. č. 4014/2 v katastrálním území Libeň, obec Praha, je od počátku Hlavní město Praha; a </w:t>
      </w:r>
      <w:r w:rsidRPr="004273DC">
        <w:lastRenderedPageBreak/>
        <w:t xml:space="preserve">Městské části Praha 8 jsou ve smyslu § 19 </w:t>
      </w:r>
      <w:r>
        <w:t>Z</w:t>
      </w:r>
      <w:r w:rsidRPr="004273DC">
        <w:t>ákona o hlavním městě Praze svěřeny do správy Pozemky včetně Budovy.</w:t>
      </w:r>
    </w:p>
    <w:p w14:paraId="23AD0233" w14:textId="77777777" w:rsidR="00335CCE" w:rsidRPr="004273DC" w:rsidRDefault="00335CCE" w:rsidP="00335CCE">
      <w:pPr>
        <w:pStyle w:val="Nadpis2"/>
        <w:numPr>
          <w:ilvl w:val="0"/>
          <w:numId w:val="0"/>
        </w:numPr>
        <w:rPr>
          <w:b/>
        </w:rPr>
      </w:pPr>
      <w:bookmarkStart w:id="34" w:name="_Ref487547226"/>
      <w:bookmarkStart w:id="35" w:name="_Ref488068892"/>
      <w:bookmarkStart w:id="36" w:name="_Ref494290704"/>
      <w:bookmarkEnd w:id="33"/>
      <w:r w:rsidRPr="004273DC">
        <w:rPr>
          <w:b/>
        </w:rPr>
        <w:t>Finanční vypořádání</w:t>
      </w:r>
    </w:p>
    <w:p w14:paraId="3F3A1DD8" w14:textId="7BAB3AD7" w:rsidR="00335CCE" w:rsidRPr="004273DC" w:rsidRDefault="00335CCE" w:rsidP="00335CCE">
      <w:pPr>
        <w:pStyle w:val="Nadpis2"/>
      </w:pPr>
      <w:r w:rsidRPr="004273DC">
        <w:t>Městská část Praha 8 a Centrum Palmovka ke dni účinnosti Dohody o narovnání [Centrum Palmovka] započítávají (i) pohledávku Městské části Praha 8 za Centrum Palmovka na úhradu Celkové čerpané částky včetně úroků z prodlení proti (</w:t>
      </w:r>
      <w:proofErr w:type="spellStart"/>
      <w:r w:rsidRPr="004273DC">
        <w:t>ii</w:t>
      </w:r>
      <w:proofErr w:type="spellEnd"/>
      <w:r w:rsidRPr="004273DC">
        <w:t xml:space="preserve">) pohledávce Centrum Palmovka za Městskou částí Praha 8 na úhradu </w:t>
      </w:r>
      <w:r w:rsidR="00FE735E">
        <w:t>Náhrady</w:t>
      </w:r>
      <w:r w:rsidRPr="004273DC">
        <w:t>.</w:t>
      </w:r>
      <w:bookmarkEnd w:id="34"/>
      <w:bookmarkEnd w:id="35"/>
      <w:bookmarkEnd w:id="36"/>
      <w:r w:rsidRPr="004273DC">
        <w:t xml:space="preserve"> </w:t>
      </w:r>
      <w:bookmarkStart w:id="37" w:name="_Ref487551818"/>
      <w:bookmarkStart w:id="38" w:name="_Ref495076894"/>
    </w:p>
    <w:p w14:paraId="3397AD9A" w14:textId="5DE5A5FC" w:rsidR="00335CCE" w:rsidRDefault="00335CCE" w:rsidP="00335CCE">
      <w:pPr>
        <w:pStyle w:val="Nadpis2"/>
      </w:pPr>
      <w:r w:rsidRPr="004273DC">
        <w:t xml:space="preserve">Započtením pohledávek se Celková dlužná částka a </w:t>
      </w:r>
      <w:r w:rsidR="00FE735E">
        <w:t xml:space="preserve">Náhrada </w:t>
      </w:r>
      <w:r w:rsidRPr="004273DC">
        <w:t>považují za uhrazené v rozsahu, v jakém se vzájemně kryjí.</w:t>
      </w:r>
      <w:bookmarkEnd w:id="37"/>
      <w:r w:rsidRPr="004273DC">
        <w:t xml:space="preserve"> </w:t>
      </w:r>
      <w:bookmarkEnd w:id="38"/>
    </w:p>
    <w:p w14:paraId="5CEBC762" w14:textId="77777777" w:rsidR="00335CCE" w:rsidRPr="004273DC" w:rsidRDefault="00335CCE" w:rsidP="00335CCE">
      <w:pPr>
        <w:pStyle w:val="Nadpis1"/>
      </w:pPr>
      <w:bookmarkStart w:id="39" w:name="_Ref494107961"/>
      <w:bookmarkStart w:id="40" w:name="_Toc496098066"/>
      <w:bookmarkStart w:id="41" w:name="_Toc503097140"/>
      <w:bookmarkStart w:id="42" w:name="_Hlk503110676"/>
      <w:bookmarkStart w:id="43" w:name="_Ref478633723"/>
      <w:bookmarkStart w:id="44" w:name="_Toc479062589"/>
      <w:bookmarkStart w:id="45" w:name="_Ref494355311"/>
      <w:r w:rsidRPr="004273DC">
        <w:t>narovnání s metrostav alfa a metrostav development</w:t>
      </w:r>
      <w:bookmarkEnd w:id="39"/>
      <w:bookmarkEnd w:id="40"/>
      <w:bookmarkEnd w:id="41"/>
    </w:p>
    <w:p w14:paraId="5C4CDDA8" w14:textId="77777777" w:rsidR="00335CCE" w:rsidRPr="004273DC" w:rsidRDefault="00335CCE" w:rsidP="00335CCE">
      <w:pPr>
        <w:pStyle w:val="Nadpis2"/>
        <w:numPr>
          <w:ilvl w:val="0"/>
          <w:numId w:val="0"/>
        </w:numPr>
        <w:rPr>
          <w:b/>
        </w:rPr>
      </w:pPr>
      <w:r w:rsidRPr="004273DC">
        <w:rPr>
          <w:b/>
        </w:rPr>
        <w:t>Obecně</w:t>
      </w:r>
    </w:p>
    <w:p w14:paraId="0BE054D2" w14:textId="77777777" w:rsidR="00335CCE" w:rsidRPr="004273DC" w:rsidRDefault="00335CCE" w:rsidP="00335CCE">
      <w:pPr>
        <w:pStyle w:val="Nadpis2"/>
      </w:pPr>
      <w:r w:rsidRPr="004273DC">
        <w:t xml:space="preserve">Za účelem dostavby Budovy chtějí Městská část Praha 8, Centrum Palmovka, Metrostav Alfa a Metrostav Development narovnat vzájemná sporná či pochybná práva a povinnosti a vypořádat nároky vzniklé mezi stranami z výstavby Budovy nebo v souvislosti s výstavbou Budovy, zejména ze Smlouvy o výstavbě. </w:t>
      </w:r>
    </w:p>
    <w:p w14:paraId="3822A726" w14:textId="77777777" w:rsidR="00335CCE" w:rsidRPr="004273DC" w:rsidRDefault="00335CCE" w:rsidP="00335CCE">
      <w:pPr>
        <w:pStyle w:val="Nadpis2"/>
      </w:pPr>
      <w:r w:rsidRPr="004273DC">
        <w:t>Úmyslem stran je uzavřít komplexní narovnání všech práv a povinností vyplývajících ze Smlouvy o výstavbě a uzavřít dohod</w:t>
      </w:r>
      <w:r>
        <w:t>u</w:t>
      </w:r>
      <w:r w:rsidRPr="004273DC">
        <w:t xml:space="preserve"> o narovnání (dále jen "</w:t>
      </w:r>
      <w:r w:rsidRPr="004273DC">
        <w:rPr>
          <w:b/>
        </w:rPr>
        <w:t>Dohoda o narovnání [Metrostav]</w:t>
      </w:r>
      <w:r w:rsidRPr="004273DC">
        <w:t>").</w:t>
      </w:r>
    </w:p>
    <w:p w14:paraId="247332C0" w14:textId="77777777" w:rsidR="00335CCE" w:rsidRPr="004273DC" w:rsidRDefault="00335CCE" w:rsidP="00335CCE">
      <w:pPr>
        <w:pStyle w:val="Nadpis2"/>
        <w:numPr>
          <w:ilvl w:val="0"/>
          <w:numId w:val="0"/>
        </w:numPr>
        <w:rPr>
          <w:b/>
        </w:rPr>
      </w:pPr>
      <w:r w:rsidRPr="004273DC">
        <w:rPr>
          <w:b/>
        </w:rPr>
        <w:t>Narovnání</w:t>
      </w:r>
    </w:p>
    <w:p w14:paraId="726EB056" w14:textId="77777777" w:rsidR="00335CCE" w:rsidRPr="004273DC" w:rsidRDefault="00335CCE" w:rsidP="00335CCE">
      <w:pPr>
        <w:pStyle w:val="Nadpis2"/>
        <w:numPr>
          <w:ilvl w:val="1"/>
          <w:numId w:val="16"/>
        </w:numPr>
        <w:tabs>
          <w:tab w:val="clear" w:pos="624"/>
          <w:tab w:val="num" w:pos="908"/>
        </w:tabs>
      </w:pPr>
      <w:r w:rsidRPr="004273DC">
        <w:t xml:space="preserve">Ve vztahu k platnosti Smlouvy o výstavbě v návaznosti na Rozhodčí nález a Přezkumný rozhodčí nález strany Dohody o narovnání [Metrostav] berou na vědomí a respektují, že Smlouva o výstavbě byla uzavřena platně, je ke dni uzavření Dohody o narovnání [Metrostav] platná a účinná a povinnosti z ní vyplývající představují vymahatelné povinnosti. </w:t>
      </w:r>
      <w:bookmarkEnd w:id="42"/>
    </w:p>
    <w:p w14:paraId="1B6FC31D" w14:textId="77777777" w:rsidR="00335CCE" w:rsidRPr="004273DC" w:rsidRDefault="00335CCE" w:rsidP="00335CCE">
      <w:pPr>
        <w:pStyle w:val="Nadpis2"/>
        <w:numPr>
          <w:ilvl w:val="1"/>
          <w:numId w:val="16"/>
        </w:numPr>
        <w:tabs>
          <w:tab w:val="clear" w:pos="624"/>
          <w:tab w:val="num" w:pos="908"/>
        </w:tabs>
      </w:pPr>
      <w:bookmarkStart w:id="46" w:name="_Ref478980973"/>
      <w:bookmarkStart w:id="47" w:name="_Toc479062590"/>
      <w:bookmarkEnd w:id="43"/>
      <w:bookmarkEnd w:id="44"/>
      <w:r w:rsidRPr="004273DC">
        <w:t xml:space="preserve">Ve vztahu k vlastnickému právu k Budově v návaznosti na usnesení o schválení soudního smíru strany Dohody o narovnání [Metrostav] berou na vědomí, respektují a uznávají, že Budova stojí na Pozemcích, které jsou nemovitými věcmi v majetku Hlavního města Prahy; Budova je součástí pozemku </w:t>
      </w:r>
      <w:proofErr w:type="spellStart"/>
      <w:r w:rsidRPr="004273DC">
        <w:t>parc</w:t>
      </w:r>
      <w:proofErr w:type="spellEnd"/>
      <w:r w:rsidRPr="004273DC">
        <w:t xml:space="preserve">. č. 4014/2 v katastrálním území Libeň, obec Praha; Pozemky a Budova jako součást pozemku </w:t>
      </w:r>
      <w:proofErr w:type="spellStart"/>
      <w:r w:rsidRPr="004273DC">
        <w:t>parc</w:t>
      </w:r>
      <w:proofErr w:type="spellEnd"/>
      <w:r w:rsidRPr="004273DC">
        <w:t>. č. 4014/2 v katastrálním území Libeň, obec Hlavní město Praha jsou v souladu se Zákonem o Hlavním městě Praze a Statutem svěřeny do správy Městské části Praha 8; a strany prohlašují, že mezi nimi není sporná otázka vlastnického práva k Budově.</w:t>
      </w:r>
    </w:p>
    <w:bookmarkEnd w:id="46"/>
    <w:bookmarkEnd w:id="47"/>
    <w:p w14:paraId="299CEA5B" w14:textId="77777777" w:rsidR="00335CCE" w:rsidRPr="004273DC" w:rsidRDefault="00335CCE" w:rsidP="00335CCE">
      <w:pPr>
        <w:pStyle w:val="Nadpis2"/>
        <w:numPr>
          <w:ilvl w:val="1"/>
          <w:numId w:val="16"/>
        </w:numPr>
        <w:tabs>
          <w:tab w:val="clear" w:pos="624"/>
          <w:tab w:val="num" w:pos="908"/>
        </w:tabs>
      </w:pPr>
      <w:r w:rsidRPr="004273DC">
        <w:t>Ve vztahu k dlužným částkám se stanoví, že:</w:t>
      </w:r>
    </w:p>
    <w:p w14:paraId="03D76F17" w14:textId="77777777" w:rsidR="00335CCE" w:rsidRDefault="00335CCE" w:rsidP="00335CCE">
      <w:pPr>
        <w:pStyle w:val="Nadpis3"/>
        <w:numPr>
          <w:ilvl w:val="2"/>
          <w:numId w:val="16"/>
        </w:numPr>
        <w:tabs>
          <w:tab w:val="num" w:pos="908"/>
        </w:tabs>
      </w:pPr>
      <w:bookmarkStart w:id="48" w:name="_Ref502943865"/>
      <w:bookmarkStart w:id="49" w:name="_Ref500767177"/>
      <w:r w:rsidRPr="004273DC">
        <w:t>Městská část Praha 8 uhradí Metrostav Alfa dlužnou částku za smluvní plnění</w:t>
      </w:r>
      <w:r>
        <w:t xml:space="preserve"> (</w:t>
      </w:r>
      <w:r w:rsidRPr="004273DC">
        <w:t>ve výši 179.849.896,20 Kč za realizované milníky provedení hrubé stavby 2., 3., 6., 7. a 8. nadzemního podlaží Budovy</w:t>
      </w:r>
      <w:r>
        <w:t>)</w:t>
      </w:r>
      <w:bookmarkEnd w:id="48"/>
      <w:r>
        <w:t>, která bude ponížena o zádržné podle Smlouvy o výstavbě ve výši 10 %</w:t>
      </w:r>
      <w:r w:rsidRPr="004273DC">
        <w:t>;</w:t>
      </w:r>
    </w:p>
    <w:p w14:paraId="7ACD8A83" w14:textId="77777777" w:rsidR="00335CCE" w:rsidRDefault="00335CCE" w:rsidP="00335CCE">
      <w:pPr>
        <w:pStyle w:val="Nadpis3"/>
        <w:numPr>
          <w:ilvl w:val="2"/>
          <w:numId w:val="16"/>
        </w:numPr>
        <w:tabs>
          <w:tab w:val="num" w:pos="908"/>
        </w:tabs>
      </w:pPr>
      <w:r w:rsidRPr="004273DC">
        <w:t xml:space="preserve">dlužnou částku nebude hradit Centrum Palmovka; </w:t>
      </w:r>
    </w:p>
    <w:p w14:paraId="3A47B688" w14:textId="77777777" w:rsidR="00335CCE" w:rsidRPr="004273DC" w:rsidRDefault="00335CCE" w:rsidP="00335CCE">
      <w:pPr>
        <w:pStyle w:val="Nadpis3"/>
      </w:pPr>
      <w:r>
        <w:lastRenderedPageBreak/>
        <w:t>ú</w:t>
      </w:r>
      <w:r w:rsidRPr="004273DC">
        <w:t>rok</w:t>
      </w:r>
      <w:r>
        <w:t>y</w:t>
      </w:r>
      <w:r w:rsidRPr="004273DC">
        <w:t xml:space="preserve"> z prodlení ve výši 0,05 % denně ode dne 19. května 2015 do zaplacení </w:t>
      </w:r>
      <w:r>
        <w:t xml:space="preserve">budou hrazeny </w:t>
      </w:r>
      <w:r w:rsidRPr="00AB7DEB">
        <w:rPr>
          <w:u w:val="single"/>
        </w:rPr>
        <w:t>z částky 17.985.000,- Kč</w:t>
      </w:r>
      <w:r>
        <w:t xml:space="preserve"> (žalovaná částka), nikoli z celé výše dluhu (</w:t>
      </w:r>
      <w:r w:rsidRPr="004273DC">
        <w:t>179.849.896,20 Kč</w:t>
      </w:r>
      <w:r>
        <w:t xml:space="preserve"> ponížené o zádržné)</w:t>
      </w:r>
      <w:r w:rsidRPr="004273DC">
        <w:t>;</w:t>
      </w:r>
    </w:p>
    <w:p w14:paraId="6C324B4E" w14:textId="449FBEE7" w:rsidR="00335CCE" w:rsidRPr="004273DC" w:rsidRDefault="00335CCE" w:rsidP="00335CCE">
      <w:pPr>
        <w:pStyle w:val="Nadpis3"/>
        <w:numPr>
          <w:ilvl w:val="2"/>
          <w:numId w:val="16"/>
        </w:numPr>
        <w:tabs>
          <w:tab w:val="num" w:pos="908"/>
        </w:tabs>
      </w:pPr>
      <w:bookmarkStart w:id="50" w:name="_Ref495579249"/>
      <w:bookmarkStart w:id="51" w:name="_Ref495483142"/>
      <w:bookmarkEnd w:id="49"/>
      <w:r w:rsidRPr="004273DC">
        <w:t xml:space="preserve">budou uhrazeny náklady za udržovací práce ve výši </w:t>
      </w:r>
      <w:bookmarkEnd w:id="50"/>
      <w:r w:rsidR="00FE735E">
        <w:t>určené znaleckým posudkem</w:t>
      </w:r>
      <w:r w:rsidRPr="004273DC">
        <w:t xml:space="preserve">; a </w:t>
      </w:r>
      <w:bookmarkStart w:id="52" w:name="_Ref495579164"/>
    </w:p>
    <w:p w14:paraId="607FEF9D" w14:textId="77777777" w:rsidR="00335CCE" w:rsidRPr="004273DC" w:rsidRDefault="00335CCE" w:rsidP="00335CCE">
      <w:pPr>
        <w:pStyle w:val="Nadpis3"/>
        <w:numPr>
          <w:ilvl w:val="2"/>
          <w:numId w:val="16"/>
        </w:numPr>
        <w:tabs>
          <w:tab w:val="num" w:pos="908"/>
        </w:tabs>
      </w:pPr>
      <w:r w:rsidRPr="004273DC">
        <w:t>budou uhrazeny náklady rozhodčího řízení v celkové výši 2.069.270,- Kč.</w:t>
      </w:r>
      <w:bookmarkEnd w:id="52"/>
    </w:p>
    <w:bookmarkEnd w:id="51"/>
    <w:p w14:paraId="271832AD" w14:textId="77777777" w:rsidR="00335CCE" w:rsidRPr="004273DC" w:rsidRDefault="00335CCE" w:rsidP="00335CCE">
      <w:pPr>
        <w:pStyle w:val="Nadpis2"/>
        <w:numPr>
          <w:ilvl w:val="1"/>
          <w:numId w:val="16"/>
        </w:numPr>
        <w:tabs>
          <w:tab w:val="clear" w:pos="624"/>
          <w:tab w:val="num" w:pos="908"/>
        </w:tabs>
      </w:pPr>
      <w:r w:rsidRPr="004273DC">
        <w:t xml:space="preserve">Ve vztahu k dostavbě Budovy se stanoví, že dostavbu provede Metrostav Alfa, a to za podmínek stanovených ve Smlouvě o výstavbě po jejím postoupení na Městskou část Praha 8 a po její věcné změně vyvolané zejména z důvodu umístění sídla Zdravotnické záchranné služby, a to při naplnění všech ustanovení Zákona o zadávání veřejných zakázek. </w:t>
      </w:r>
      <w:bookmarkStart w:id="53" w:name="_Ref502943781"/>
    </w:p>
    <w:p w14:paraId="665CEC1D" w14:textId="77777777" w:rsidR="00335CCE" w:rsidRPr="004273DC" w:rsidRDefault="00335CCE" w:rsidP="00335CCE">
      <w:pPr>
        <w:pStyle w:val="Nadpis2"/>
        <w:numPr>
          <w:ilvl w:val="1"/>
          <w:numId w:val="16"/>
        </w:numPr>
        <w:tabs>
          <w:tab w:val="clear" w:pos="624"/>
          <w:tab w:val="num" w:pos="908"/>
        </w:tabs>
      </w:pPr>
      <w:r w:rsidRPr="004273DC">
        <w:t>Podmínky dostavby Budovy budou řešeny v Dodatku č. 1 ke Smlouvě o výstavbě (dále jen "</w:t>
      </w:r>
      <w:r w:rsidRPr="004273DC">
        <w:rPr>
          <w:b/>
        </w:rPr>
        <w:t>Dodatek č. 1</w:t>
      </w:r>
      <w:r w:rsidRPr="004273DC">
        <w:t xml:space="preserve">"), který bude uzavřen již jen mezi Městskou částí Praha 8 a Metrostav Alfa. </w:t>
      </w:r>
      <w:bookmarkEnd w:id="53"/>
    </w:p>
    <w:p w14:paraId="15DB0980" w14:textId="0E2491DE" w:rsidR="00335CCE" w:rsidRPr="004273DC" w:rsidRDefault="00335CCE" w:rsidP="00335CCE">
      <w:pPr>
        <w:pStyle w:val="Nadpis2"/>
        <w:numPr>
          <w:ilvl w:val="1"/>
          <w:numId w:val="16"/>
        </w:numPr>
        <w:tabs>
          <w:tab w:val="clear" w:pos="624"/>
          <w:tab w:val="num" w:pos="908"/>
        </w:tabs>
      </w:pPr>
      <w:bookmarkStart w:id="54" w:name="_Ref500766947"/>
      <w:r w:rsidRPr="004273DC">
        <w:t xml:space="preserve">Městská část Praha 8 se zavazuje bez zbytečného odkladu po nabytí platnosti Dohody o narovnání uveřejnit ve Věstníku veřejných zakázek oznámení o záměru (tzv. </w:t>
      </w:r>
      <w:r w:rsidRPr="004273DC">
        <w:rPr>
          <w:i/>
        </w:rPr>
        <w:t>ex ante</w:t>
      </w:r>
      <w:r w:rsidRPr="004273DC">
        <w:t xml:space="preserve"> dobrovolné oznámení) podle § 212 odst. 2 Zákona o zadávání veřejných zakázek, jehož obsahem bude oznámení o záměru změny účelu a využití Budovy.</w:t>
      </w:r>
      <w:bookmarkEnd w:id="54"/>
    </w:p>
    <w:p w14:paraId="0F083BBC" w14:textId="77777777" w:rsidR="00335CCE" w:rsidRPr="004273DC" w:rsidRDefault="00335CCE" w:rsidP="00335CCE">
      <w:pPr>
        <w:pStyle w:val="Nadpis2"/>
        <w:numPr>
          <w:ilvl w:val="1"/>
          <w:numId w:val="16"/>
        </w:numPr>
        <w:tabs>
          <w:tab w:val="clear" w:pos="624"/>
          <w:tab w:val="num" w:pos="908"/>
        </w:tabs>
      </w:pPr>
      <w:bookmarkStart w:id="55" w:name="_Ref503114240"/>
      <w:r w:rsidRPr="004273DC">
        <w:t>Po nabytí účinnosti Dohody o narovnání [Metrostav] bude zpracován jednostupňový projekt dostavby části Budovy určené pro účely Zdravotnické záchranné služby a provedeno jeho ocenění. Realizace dostavby této části Budovy bude zahájena po získání všech nezbytných stanovisek dotčených orgánů státní správy a pravomocných správních rozhodnutí, zpracování prováděcího projektu a uzavření dodatku č. 2 ke Smlouvě o výstavbě (dále jen "</w:t>
      </w:r>
      <w:r w:rsidRPr="004273DC">
        <w:rPr>
          <w:b/>
        </w:rPr>
        <w:t>Dodatek č. 2</w:t>
      </w:r>
      <w:r w:rsidRPr="004273DC">
        <w:t>"). Předmětem Dodatku č. 2 bude konečné stanovení ceny dostavby podle metodologie stanovené v Dodatku č. 1.</w:t>
      </w:r>
      <w:bookmarkEnd w:id="55"/>
    </w:p>
    <w:p w14:paraId="49E852AB" w14:textId="77777777" w:rsidR="00335CCE" w:rsidRPr="004273DC" w:rsidRDefault="00335CCE" w:rsidP="00335CCE">
      <w:pPr>
        <w:pStyle w:val="Nadpis2"/>
        <w:numPr>
          <w:ilvl w:val="1"/>
          <w:numId w:val="16"/>
        </w:numPr>
        <w:tabs>
          <w:tab w:val="clear" w:pos="624"/>
          <w:tab w:val="num" w:pos="908"/>
        </w:tabs>
      </w:pPr>
      <w:r w:rsidRPr="004273DC">
        <w:t xml:space="preserve">Realizace dostavby části Budovy určené pro účely radnice Městské části Praha 8 bude provedena podle původní projektové dokumentace a započne do 1 kalendářního měsíce po uhrazení dlužné částky za smluvní plnění, nákladů za udržovací práce a nákladů za rozhodčí řízení.  </w:t>
      </w:r>
    </w:p>
    <w:p w14:paraId="70B84CE0" w14:textId="77777777" w:rsidR="00335CCE" w:rsidRPr="004273DC" w:rsidRDefault="00335CCE" w:rsidP="00335CCE">
      <w:pPr>
        <w:pStyle w:val="Nadpis2"/>
        <w:numPr>
          <w:ilvl w:val="1"/>
          <w:numId w:val="16"/>
        </w:numPr>
        <w:tabs>
          <w:tab w:val="clear" w:pos="624"/>
          <w:tab w:val="num" w:pos="908"/>
        </w:tabs>
      </w:pPr>
      <w:bookmarkStart w:id="56" w:name="_Ref486857290"/>
      <w:r w:rsidRPr="004273DC">
        <w:t xml:space="preserve">Ve vztahu k případným dalším nárokům Metrostav Alfa nebo Metrostav Development se sjednává, že s výjimkou nároků ___________ a s výjimkou nároků, jež mají být řešeny v Dodatku č. 1, který bude uzavřen mezi Městskou částí Praha 8 a Metrostav Alfa:  </w:t>
      </w:r>
    </w:p>
    <w:p w14:paraId="696A16A6" w14:textId="77777777" w:rsidR="00335CCE" w:rsidRPr="004273DC" w:rsidRDefault="00335CCE" w:rsidP="00335CCE">
      <w:pPr>
        <w:pStyle w:val="Nadpis3"/>
        <w:numPr>
          <w:ilvl w:val="2"/>
          <w:numId w:val="16"/>
        </w:numPr>
        <w:tabs>
          <w:tab w:val="num" w:pos="908"/>
        </w:tabs>
      </w:pPr>
      <w:r w:rsidRPr="004273DC">
        <w:t>Metrostav Alfa a Metrostav Development se výslovně vzdávají ve vztahu k Centrum Palmovka a Městské části Praha 8 práva na náhradu škody a/nebo práva na náhradu jiné (zejména nemajetkové) újmy, práva na vydání bezdůvodného obohacení, práva na úroky z prodlení a práva na zaplacení smluvní pokuty související se Smlouvou o výstavbě, které mohly Metrostav Alfa nebo Metrostav Development vzniknout ve vztahu k Centrum Palmovka a/nebo Městské části Praha 8, a to ať již existujících, podmíněných, sporných či nesporných, splatných či nesplatných</w:t>
      </w:r>
      <w:bookmarkEnd w:id="56"/>
      <w:r w:rsidRPr="004273DC">
        <w:t xml:space="preserve">; </w:t>
      </w:r>
      <w:bookmarkStart w:id="57" w:name="_Ref486857293"/>
    </w:p>
    <w:p w14:paraId="25F3C017" w14:textId="77777777" w:rsidR="00335CCE" w:rsidRPr="004273DC" w:rsidRDefault="00335CCE" w:rsidP="00335CCE">
      <w:pPr>
        <w:pStyle w:val="Nadpis3"/>
        <w:numPr>
          <w:ilvl w:val="2"/>
          <w:numId w:val="16"/>
        </w:numPr>
        <w:tabs>
          <w:tab w:val="num" w:pos="908"/>
        </w:tabs>
      </w:pPr>
      <w:r w:rsidRPr="004273DC">
        <w:lastRenderedPageBreak/>
        <w:t>Metrostav Alfa a Metrostav Development výslovně prohlašují, že nemají vůči Městské části Praha 8 a Centrum Palmovka jakékoli nároky vzniklé do dne účinnosti Dohody o narovnání [Metrostav] na náhradu škody a/nebo právo na náhradu jiné (zejména nemajetkové) újmy či právo na vydání bezdůvodného obohacení související se Smlouvou o výstavbě</w:t>
      </w:r>
      <w:bookmarkEnd w:id="57"/>
      <w:r w:rsidRPr="004273DC">
        <w:t xml:space="preserve">; a </w:t>
      </w:r>
    </w:p>
    <w:p w14:paraId="131CE768" w14:textId="77777777" w:rsidR="00335CCE" w:rsidRPr="004273DC" w:rsidRDefault="00335CCE" w:rsidP="00335CCE">
      <w:pPr>
        <w:pStyle w:val="Nadpis3"/>
        <w:numPr>
          <w:ilvl w:val="2"/>
          <w:numId w:val="16"/>
        </w:numPr>
        <w:tabs>
          <w:tab w:val="num" w:pos="908"/>
        </w:tabs>
      </w:pPr>
      <w:r w:rsidRPr="004273DC">
        <w:t>v</w:t>
      </w:r>
      <w:r>
        <w:t> </w:t>
      </w:r>
      <w:r w:rsidRPr="004273DC">
        <w:t>rozsahu</w:t>
      </w:r>
      <w:r>
        <w:t>,</w:t>
      </w:r>
      <w:r w:rsidRPr="004273DC">
        <w:t xml:space="preserve"> v němž práva a nároky Metrostav Alfa a Metrostav Development uvedené v Dohodě o narovnání [Metrostav] nezaniknou v důsledku vzdání se těchto práv a nároků, se Metrostav Alfa a Metrostav Development zavazují, že takové práva a nároky neuplatní, nepostoupí, nezatíží ani s nimi nebudou jakkoli jinak nakládat.</w:t>
      </w:r>
    </w:p>
    <w:bookmarkEnd w:id="45"/>
    <w:p w14:paraId="56E64B55" w14:textId="77777777" w:rsidR="00335CCE" w:rsidRPr="004273DC" w:rsidRDefault="00335CCE" w:rsidP="00335CCE">
      <w:pPr>
        <w:pStyle w:val="Nadpis1"/>
        <w:rPr>
          <w:b w:val="0"/>
        </w:rPr>
      </w:pPr>
      <w:r w:rsidRPr="004273DC">
        <w:t>dodatek č. 1</w:t>
      </w:r>
    </w:p>
    <w:p w14:paraId="5BE4F1D1" w14:textId="77777777" w:rsidR="00335CCE" w:rsidRPr="004273DC" w:rsidRDefault="00335CCE" w:rsidP="00335CCE">
      <w:pPr>
        <w:pStyle w:val="Nadpis2"/>
      </w:pPr>
      <w:r w:rsidRPr="004273DC">
        <w:t>Předmětem Dodatku č. 1 budou zejména následující věcné změny Smlouvy o výstavbě a další související otázky (vyvolané zejména umístěním sídla Zdravotnické záchranné služby v části Budovy):</w:t>
      </w:r>
    </w:p>
    <w:p w14:paraId="791DB504" w14:textId="77777777" w:rsidR="00335CCE" w:rsidRPr="004273DC" w:rsidRDefault="00335CCE" w:rsidP="00335CCE">
      <w:pPr>
        <w:pStyle w:val="Nadpis3"/>
      </w:pPr>
      <w:r w:rsidRPr="004273DC">
        <w:t xml:space="preserve">dojde k částečné změně účelu a využití Budovy, a to i v návaznosti na usnesení rady Hlavního města Prahy, číslo usnesení 2245 a usnesení zastupitelstva Hlavního města Prahy č. 29/77 ze dne 14. září 2017, v tom směru, že Budova bude využívána nejen pro účely radnice Městské části Praha 8, ale nově rovněž pro účely Zdravotnické záchranné služby; Budova nebude naopak zahrnovat komerční prostory; </w:t>
      </w:r>
    </w:p>
    <w:p w14:paraId="03B64F58" w14:textId="615FE259" w:rsidR="00335CCE" w:rsidRPr="004273DC" w:rsidRDefault="00335CCE" w:rsidP="00335CCE">
      <w:pPr>
        <w:pStyle w:val="Nadpis3"/>
      </w:pPr>
      <w:r w:rsidRPr="004273DC">
        <w:t>s ohledem na změnu účelu a využití Budovy</w:t>
      </w:r>
      <w:r w:rsidR="00AA7266">
        <w:t xml:space="preserve"> (když nově bude v části Budovy umístěno sídlo ZZS a nebude možné prostory pronajímat)</w:t>
      </w:r>
      <w:r w:rsidRPr="004273DC">
        <w:t xml:space="preserve"> Smlouva o výstavbě nebude nově zahrnovat poskytování správy Budovy v plném rozsahu, s čímž bude spojen i zánik povinnosti Metrostav Alfa zajišťovat stálý výnos z provozu Budovy; povinnost Metrostav Alfa zajišťovat správu a výnos z důvodu změny okolností a z důvodu jiného účelu využití Budovy zanikla, a to přímo ze zákona (neboť prostory, jejichž pronájem měl zajistit Metrostav Alfa</w:t>
      </w:r>
      <w:r>
        <w:t>,</w:t>
      </w:r>
      <w:r w:rsidRPr="004273DC">
        <w:t xml:space="preserve"> budou užívány ze strany Zdravotnické záchranné služby); </w:t>
      </w:r>
    </w:p>
    <w:p w14:paraId="040EA43C" w14:textId="77777777" w:rsidR="00335CCE" w:rsidRPr="004273DC" w:rsidRDefault="00335CCE" w:rsidP="00335CCE">
      <w:pPr>
        <w:pStyle w:val="Nadpis3"/>
      </w:pPr>
      <w:r w:rsidRPr="004273DC">
        <w:t>budou zohledněny výsledky pasportizace Budovy pro její dostavbu (i ve vztahu k záruce Budovy);</w:t>
      </w:r>
    </w:p>
    <w:p w14:paraId="40BF4D4A" w14:textId="77777777" w:rsidR="00335CCE" w:rsidRPr="004273DC" w:rsidRDefault="00335CCE" w:rsidP="00335CCE">
      <w:pPr>
        <w:pStyle w:val="Nadpis3"/>
      </w:pPr>
      <w:r w:rsidRPr="004273DC">
        <w:t>bude vyřešena otázka náhrady případných jiných nákladů než nákladů na udržovací práce vzniklých Metrostav Alfa v důsledku přerušení výstavby Budovy, mezi které patří zejména náklady na změnu výrobků či technologií v důsledku nových legislativních požadavků;</w:t>
      </w:r>
    </w:p>
    <w:p w14:paraId="0604F244" w14:textId="2890BC2E" w:rsidR="00335CCE" w:rsidRPr="004273DC" w:rsidRDefault="00335CCE" w:rsidP="00335CCE">
      <w:pPr>
        <w:pStyle w:val="Nadpis3"/>
      </w:pPr>
      <w:r w:rsidRPr="004273DC">
        <w:t>dojde ke stanovení jasných termínů dokončení výstavby Budovy a k úpravě milníků výstavby Budovy</w:t>
      </w:r>
      <w:r w:rsidR="00AA7266">
        <w:t xml:space="preserve"> </w:t>
      </w:r>
      <w:r w:rsidRPr="004273DC">
        <w:t>a</w:t>
      </w:r>
      <w:r w:rsidR="00AA7266">
        <w:t xml:space="preserve"> popisu stavby</w:t>
      </w:r>
      <w:r w:rsidR="00AA7266" w:rsidRPr="004273DC">
        <w:t>;</w:t>
      </w:r>
    </w:p>
    <w:p w14:paraId="06CEE124" w14:textId="77777777" w:rsidR="00335CCE" w:rsidRDefault="00335CCE" w:rsidP="00335CCE">
      <w:pPr>
        <w:pStyle w:val="Nadpis3"/>
      </w:pPr>
      <w:r w:rsidRPr="004273DC">
        <w:t xml:space="preserve">bude sjednán mechanismus stanovení nové (konečné) ceny dostavby části Budovy určené pro Zdravotnickou záchrannou službu. </w:t>
      </w:r>
    </w:p>
    <w:p w14:paraId="7659425A" w14:textId="77777777" w:rsidR="00335CCE" w:rsidRPr="00335CCE" w:rsidRDefault="00335CCE" w:rsidP="00335CCE">
      <w:pPr>
        <w:pStyle w:val="Zkladntext"/>
        <w:ind w:left="0"/>
      </w:pPr>
    </w:p>
    <w:p w14:paraId="596C4D13" w14:textId="77777777" w:rsidR="00335CCE" w:rsidRPr="00335CCE" w:rsidRDefault="00335CCE" w:rsidP="00335CCE">
      <w:pPr>
        <w:spacing w:after="0"/>
        <w:ind w:left="0"/>
        <w:rPr>
          <w:b/>
        </w:rPr>
      </w:pPr>
    </w:p>
    <w:sectPr w:rsidR="00335CCE" w:rsidRPr="00335CCE" w:rsidSect="00695737">
      <w:headerReference w:type="default" r:id="rId8"/>
      <w:footerReference w:type="default" r:id="rId9"/>
      <w:endnotePr>
        <w:numFmt w:val="lowerLetter"/>
      </w:endnotePr>
      <w:pgSz w:w="11906" w:h="16838" w:code="9"/>
      <w:pgMar w:top="1418" w:right="1701" w:bottom="1418" w:left="1701" w:header="851" w:footer="284"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132AA" w14:textId="77777777" w:rsidR="00830D4A" w:rsidRDefault="00830D4A">
      <w:r>
        <w:separator/>
      </w:r>
    </w:p>
  </w:endnote>
  <w:endnote w:type="continuationSeparator" w:id="0">
    <w:p w14:paraId="5DD657F5" w14:textId="77777777" w:rsidR="00830D4A" w:rsidRDefault="00830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EE"/>
    <w:family w:val="swiss"/>
    <w:pitch w:val="variable"/>
    <w:sig w:usb0="E0002AFF" w:usb1="C0007843"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vantGarde">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000" w:firstRow="0" w:lastRow="0" w:firstColumn="0" w:lastColumn="0" w:noHBand="0" w:noVBand="0"/>
    </w:tblPr>
    <w:tblGrid>
      <w:gridCol w:w="2835"/>
      <w:gridCol w:w="2834"/>
      <w:gridCol w:w="2835"/>
    </w:tblGrid>
    <w:tr w:rsidR="00953C6B" w14:paraId="1C58C031" w14:textId="77777777" w:rsidTr="00255B3B">
      <w:tc>
        <w:tcPr>
          <w:tcW w:w="3095" w:type="dxa"/>
        </w:tcPr>
        <w:p w14:paraId="08E22BF9" w14:textId="77777777" w:rsidR="00953C6B" w:rsidRDefault="00953C6B" w:rsidP="00847673">
          <w:pPr>
            <w:pStyle w:val="Zpat"/>
            <w:ind w:left="-108"/>
            <w:rPr>
              <w:sz w:val="16"/>
            </w:rPr>
          </w:pPr>
        </w:p>
      </w:tc>
      <w:tc>
        <w:tcPr>
          <w:tcW w:w="3095" w:type="dxa"/>
        </w:tcPr>
        <w:p w14:paraId="67BD94C5" w14:textId="699817A1" w:rsidR="00953C6B" w:rsidRDefault="00953C6B" w:rsidP="00847673">
          <w:pPr>
            <w:pStyle w:val="Zpat"/>
            <w:ind w:left="-108"/>
            <w:jc w:val="center"/>
            <w:rPr>
              <w:sz w:val="16"/>
            </w:rPr>
          </w:pPr>
          <w:r>
            <w:rPr>
              <w:rStyle w:val="slostrnky"/>
            </w:rPr>
            <w:t xml:space="preserve">- </w:t>
          </w:r>
          <w:r>
            <w:rPr>
              <w:rStyle w:val="slostrnky"/>
            </w:rPr>
            <w:fldChar w:fldCharType="begin"/>
          </w:r>
          <w:r>
            <w:rPr>
              <w:rStyle w:val="slostrnky"/>
            </w:rPr>
            <w:instrText xml:space="preserve"> PAGE </w:instrText>
          </w:r>
          <w:r>
            <w:rPr>
              <w:rStyle w:val="slostrnky"/>
            </w:rPr>
            <w:fldChar w:fldCharType="separate"/>
          </w:r>
          <w:r w:rsidR="00BF5D9F">
            <w:rPr>
              <w:rStyle w:val="slostrnky"/>
              <w:noProof/>
            </w:rPr>
            <w:t>8</w:t>
          </w:r>
          <w:r>
            <w:rPr>
              <w:rStyle w:val="slostrnky"/>
            </w:rPr>
            <w:fldChar w:fldCharType="end"/>
          </w:r>
          <w:r>
            <w:rPr>
              <w:rStyle w:val="slostrnky"/>
            </w:rPr>
            <w:t xml:space="preserve"> -</w:t>
          </w:r>
        </w:p>
      </w:tc>
      <w:tc>
        <w:tcPr>
          <w:tcW w:w="3096" w:type="dxa"/>
        </w:tcPr>
        <w:p w14:paraId="6F0134F0" w14:textId="77777777" w:rsidR="00953C6B" w:rsidRDefault="00953C6B" w:rsidP="00255B3B">
          <w:pPr>
            <w:pStyle w:val="Zpat"/>
            <w:jc w:val="right"/>
            <w:rPr>
              <w:sz w:val="16"/>
            </w:rPr>
          </w:pPr>
        </w:p>
      </w:tc>
    </w:tr>
  </w:tbl>
  <w:p w14:paraId="13D1EBF3" w14:textId="77777777" w:rsidR="00953C6B" w:rsidRDefault="00953C6B" w:rsidP="00105D04">
    <w:pPr>
      <w:pStyle w:val="Zpat"/>
      <w:rPr>
        <w:sz w:val="16"/>
      </w:rPr>
    </w:pPr>
    <w:r>
      <w:rPr>
        <w:sz w:val="16"/>
      </w:rP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92421" w14:textId="77777777" w:rsidR="00830D4A" w:rsidRDefault="00830D4A" w:rsidP="00AD4B66">
      <w:pPr>
        <w:spacing w:after="0"/>
        <w:ind w:left="0"/>
      </w:pPr>
      <w:r>
        <w:separator/>
      </w:r>
    </w:p>
  </w:footnote>
  <w:footnote w:type="continuationSeparator" w:id="0">
    <w:p w14:paraId="69764EF8" w14:textId="77777777" w:rsidR="00830D4A" w:rsidRDefault="00830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00B48" w14:textId="10F0AA5E" w:rsidR="000D508F" w:rsidRPr="000D508F" w:rsidRDefault="000D508F" w:rsidP="000D508F">
    <w:pPr>
      <w:pStyle w:val="Zhlav"/>
      <w:ind w:left="0"/>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29E8"/>
    <w:multiLevelType w:val="hybridMultilevel"/>
    <w:tmpl w:val="248A0F06"/>
    <w:lvl w:ilvl="0" w:tplc="3D5C4250">
      <w:start w:val="1"/>
      <w:numFmt w:val="bullet"/>
      <w:pStyle w:val="Odrka2"/>
      <w:lvlText w:val=""/>
      <w:lvlJc w:val="left"/>
      <w:pPr>
        <w:ind w:left="1344" w:hanging="360"/>
      </w:pPr>
      <w:rPr>
        <w:rFonts w:ascii="Symbol" w:hAnsi="Symbol" w:hint="default"/>
        <w:sz w:val="20"/>
      </w:rPr>
    </w:lvl>
    <w:lvl w:ilvl="1" w:tplc="04050003" w:tentative="1">
      <w:start w:val="1"/>
      <w:numFmt w:val="bullet"/>
      <w:lvlText w:val="o"/>
      <w:lvlJc w:val="left"/>
      <w:pPr>
        <w:ind w:left="2064" w:hanging="360"/>
      </w:pPr>
      <w:rPr>
        <w:rFonts w:ascii="Courier New" w:hAnsi="Courier New" w:cs="Courier New" w:hint="default"/>
      </w:rPr>
    </w:lvl>
    <w:lvl w:ilvl="2" w:tplc="04050005" w:tentative="1">
      <w:start w:val="1"/>
      <w:numFmt w:val="bullet"/>
      <w:lvlText w:val=""/>
      <w:lvlJc w:val="left"/>
      <w:pPr>
        <w:ind w:left="2784" w:hanging="360"/>
      </w:pPr>
      <w:rPr>
        <w:rFonts w:ascii="Wingdings" w:hAnsi="Wingdings" w:hint="default"/>
      </w:rPr>
    </w:lvl>
    <w:lvl w:ilvl="3" w:tplc="04050001" w:tentative="1">
      <w:start w:val="1"/>
      <w:numFmt w:val="bullet"/>
      <w:lvlText w:val=""/>
      <w:lvlJc w:val="left"/>
      <w:pPr>
        <w:ind w:left="3504" w:hanging="360"/>
      </w:pPr>
      <w:rPr>
        <w:rFonts w:ascii="Symbol" w:hAnsi="Symbol" w:hint="default"/>
      </w:rPr>
    </w:lvl>
    <w:lvl w:ilvl="4" w:tplc="04050003" w:tentative="1">
      <w:start w:val="1"/>
      <w:numFmt w:val="bullet"/>
      <w:lvlText w:val="o"/>
      <w:lvlJc w:val="left"/>
      <w:pPr>
        <w:ind w:left="4224" w:hanging="360"/>
      </w:pPr>
      <w:rPr>
        <w:rFonts w:ascii="Courier New" w:hAnsi="Courier New" w:cs="Courier New" w:hint="default"/>
      </w:rPr>
    </w:lvl>
    <w:lvl w:ilvl="5" w:tplc="04050005" w:tentative="1">
      <w:start w:val="1"/>
      <w:numFmt w:val="bullet"/>
      <w:lvlText w:val=""/>
      <w:lvlJc w:val="left"/>
      <w:pPr>
        <w:ind w:left="4944" w:hanging="360"/>
      </w:pPr>
      <w:rPr>
        <w:rFonts w:ascii="Wingdings" w:hAnsi="Wingdings" w:hint="default"/>
      </w:rPr>
    </w:lvl>
    <w:lvl w:ilvl="6" w:tplc="04050001" w:tentative="1">
      <w:start w:val="1"/>
      <w:numFmt w:val="bullet"/>
      <w:lvlText w:val=""/>
      <w:lvlJc w:val="left"/>
      <w:pPr>
        <w:ind w:left="5664" w:hanging="360"/>
      </w:pPr>
      <w:rPr>
        <w:rFonts w:ascii="Symbol" w:hAnsi="Symbol" w:hint="default"/>
      </w:rPr>
    </w:lvl>
    <w:lvl w:ilvl="7" w:tplc="04050003" w:tentative="1">
      <w:start w:val="1"/>
      <w:numFmt w:val="bullet"/>
      <w:lvlText w:val="o"/>
      <w:lvlJc w:val="left"/>
      <w:pPr>
        <w:ind w:left="6384" w:hanging="360"/>
      </w:pPr>
      <w:rPr>
        <w:rFonts w:ascii="Courier New" w:hAnsi="Courier New" w:cs="Courier New" w:hint="default"/>
      </w:rPr>
    </w:lvl>
    <w:lvl w:ilvl="8" w:tplc="04050005" w:tentative="1">
      <w:start w:val="1"/>
      <w:numFmt w:val="bullet"/>
      <w:lvlText w:val=""/>
      <w:lvlJc w:val="left"/>
      <w:pPr>
        <w:ind w:left="7104" w:hanging="360"/>
      </w:pPr>
      <w:rPr>
        <w:rFonts w:ascii="Wingdings" w:hAnsi="Wingdings" w:hint="default"/>
      </w:rPr>
    </w:lvl>
  </w:abstractNum>
  <w:abstractNum w:abstractNumId="1" w15:restartNumberingAfterBreak="0">
    <w:nsid w:val="0D2C7F3C"/>
    <w:multiLevelType w:val="multilevel"/>
    <w:tmpl w:val="89CCF894"/>
    <w:lvl w:ilvl="0">
      <w:start w:val="1"/>
      <w:numFmt w:val="lowerLetter"/>
      <w:pStyle w:val="ListAlpha1"/>
      <w:lvlText w:val="(%1)"/>
      <w:lvlJc w:val="left"/>
      <w:pPr>
        <w:tabs>
          <w:tab w:val="num" w:pos="624"/>
        </w:tabs>
        <w:ind w:left="624" w:hanging="624"/>
      </w:pPr>
      <w:rPr>
        <w:rFonts w:hint="default"/>
        <w:b w:val="0"/>
        <w:i w:val="0"/>
        <w:sz w:val="20"/>
      </w:rPr>
    </w:lvl>
    <w:lvl w:ilvl="1">
      <w:start w:val="1"/>
      <w:numFmt w:val="lowerLetter"/>
      <w:pStyle w:val="ListAlpha2"/>
      <w:lvlText w:val="(%2)"/>
      <w:lvlJc w:val="left"/>
      <w:pPr>
        <w:tabs>
          <w:tab w:val="num" w:pos="1417"/>
        </w:tabs>
        <w:ind w:left="1417" w:hanging="793"/>
      </w:pPr>
      <w:rPr>
        <w:rFonts w:hint="default"/>
        <w:b w:val="0"/>
        <w:i w:val="0"/>
        <w:sz w:val="20"/>
      </w:rPr>
    </w:lvl>
    <w:lvl w:ilvl="2">
      <w:start w:val="1"/>
      <w:numFmt w:val="lowerLetter"/>
      <w:pStyle w:val="ListAlpha3"/>
      <w:lvlText w:val="(%3)"/>
      <w:lvlJc w:val="left"/>
      <w:pPr>
        <w:tabs>
          <w:tab w:val="num" w:pos="1928"/>
        </w:tabs>
        <w:ind w:left="1928" w:hanging="511"/>
      </w:pPr>
      <w:rPr>
        <w:rFonts w:hint="default"/>
        <w:b w:val="0"/>
        <w:i w:val="0"/>
        <w:sz w:val="2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F960E15"/>
    <w:multiLevelType w:val="multilevel"/>
    <w:tmpl w:val="9C7A73D0"/>
    <w:lvl w:ilvl="0">
      <w:start w:val="1"/>
      <w:numFmt w:val="upperLetter"/>
      <w:pStyle w:val="LISTALPHACAPS1"/>
      <w:lvlText w:val="(%1)"/>
      <w:lvlJc w:val="left"/>
      <w:pPr>
        <w:tabs>
          <w:tab w:val="num" w:pos="624"/>
        </w:tabs>
        <w:ind w:left="624" w:hanging="624"/>
      </w:pPr>
      <w:rPr>
        <w:b w:val="0"/>
        <w:i w:val="0"/>
        <w:sz w:val="20"/>
      </w:rPr>
    </w:lvl>
    <w:lvl w:ilvl="1">
      <w:start w:val="1"/>
      <w:numFmt w:val="upperLetter"/>
      <w:pStyle w:val="LISTALPHACAPS2"/>
      <w:lvlText w:val="(%2)"/>
      <w:lvlJc w:val="left"/>
      <w:pPr>
        <w:tabs>
          <w:tab w:val="num" w:pos="1417"/>
        </w:tabs>
        <w:ind w:left="1417" w:hanging="793"/>
      </w:pPr>
      <w:rPr>
        <w:b w:val="0"/>
        <w:i w:val="0"/>
        <w:sz w:val="20"/>
      </w:rPr>
    </w:lvl>
    <w:lvl w:ilvl="2">
      <w:start w:val="1"/>
      <w:numFmt w:val="upperLetter"/>
      <w:pStyle w:val="LISTALPHACAPS3"/>
      <w:lvlText w:val="(%3)"/>
      <w:lvlJc w:val="left"/>
      <w:pPr>
        <w:tabs>
          <w:tab w:val="num" w:pos="1928"/>
        </w:tabs>
        <w:ind w:left="1928" w:hanging="511"/>
      </w:pPr>
      <w:rPr>
        <w:b w:val="0"/>
        <w:i w:val="0"/>
        <w:sz w:val="20"/>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1224175B"/>
    <w:multiLevelType w:val="hybridMultilevel"/>
    <w:tmpl w:val="D13ECE80"/>
    <w:lvl w:ilvl="0" w:tplc="9B8600A0">
      <w:start w:val="1"/>
      <w:numFmt w:val="lowerRoman"/>
      <w:pStyle w:val="Ploha5"/>
      <w:lvlText w:val="(%1)"/>
      <w:lvlJc w:val="left"/>
      <w:pPr>
        <w:ind w:left="2648"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3368" w:hanging="360"/>
      </w:pPr>
    </w:lvl>
    <w:lvl w:ilvl="2" w:tplc="0405001B" w:tentative="1">
      <w:start w:val="1"/>
      <w:numFmt w:val="lowerRoman"/>
      <w:lvlText w:val="%3."/>
      <w:lvlJc w:val="right"/>
      <w:pPr>
        <w:ind w:left="4088" w:hanging="180"/>
      </w:pPr>
    </w:lvl>
    <w:lvl w:ilvl="3" w:tplc="0405000F" w:tentative="1">
      <w:start w:val="1"/>
      <w:numFmt w:val="decimal"/>
      <w:lvlText w:val="%4."/>
      <w:lvlJc w:val="left"/>
      <w:pPr>
        <w:ind w:left="4808" w:hanging="360"/>
      </w:pPr>
    </w:lvl>
    <w:lvl w:ilvl="4" w:tplc="04050019" w:tentative="1">
      <w:start w:val="1"/>
      <w:numFmt w:val="lowerLetter"/>
      <w:lvlText w:val="%5."/>
      <w:lvlJc w:val="left"/>
      <w:pPr>
        <w:ind w:left="5528" w:hanging="360"/>
      </w:pPr>
    </w:lvl>
    <w:lvl w:ilvl="5" w:tplc="0405001B" w:tentative="1">
      <w:start w:val="1"/>
      <w:numFmt w:val="lowerRoman"/>
      <w:lvlText w:val="%6."/>
      <w:lvlJc w:val="right"/>
      <w:pPr>
        <w:ind w:left="6248" w:hanging="180"/>
      </w:pPr>
    </w:lvl>
    <w:lvl w:ilvl="6" w:tplc="0405000F" w:tentative="1">
      <w:start w:val="1"/>
      <w:numFmt w:val="decimal"/>
      <w:lvlText w:val="%7."/>
      <w:lvlJc w:val="left"/>
      <w:pPr>
        <w:ind w:left="6968" w:hanging="360"/>
      </w:pPr>
    </w:lvl>
    <w:lvl w:ilvl="7" w:tplc="04050019" w:tentative="1">
      <w:start w:val="1"/>
      <w:numFmt w:val="lowerLetter"/>
      <w:lvlText w:val="%8."/>
      <w:lvlJc w:val="left"/>
      <w:pPr>
        <w:ind w:left="7688" w:hanging="360"/>
      </w:pPr>
    </w:lvl>
    <w:lvl w:ilvl="8" w:tplc="0405001B" w:tentative="1">
      <w:start w:val="1"/>
      <w:numFmt w:val="lowerRoman"/>
      <w:lvlText w:val="%9."/>
      <w:lvlJc w:val="right"/>
      <w:pPr>
        <w:ind w:left="8408" w:hanging="180"/>
      </w:pPr>
    </w:lvl>
  </w:abstractNum>
  <w:abstractNum w:abstractNumId="4" w15:restartNumberingAfterBreak="0">
    <w:nsid w:val="246D280A"/>
    <w:multiLevelType w:val="multilevel"/>
    <w:tmpl w:val="4DB68DE8"/>
    <w:lvl w:ilvl="0">
      <w:start w:val="1"/>
      <w:numFmt w:val="lowerRoman"/>
      <w:pStyle w:val="ListRoman1"/>
      <w:lvlText w:val="(%1)"/>
      <w:lvlJc w:val="left"/>
      <w:pPr>
        <w:tabs>
          <w:tab w:val="num" w:pos="624"/>
        </w:tabs>
        <w:ind w:left="624" w:hanging="624"/>
      </w:pPr>
      <w:rPr>
        <w:b w:val="0"/>
        <w:i w:val="0"/>
        <w:sz w:val="18"/>
      </w:rPr>
    </w:lvl>
    <w:lvl w:ilvl="1">
      <w:start w:val="1"/>
      <w:numFmt w:val="lowerRoman"/>
      <w:pStyle w:val="ListRoman2"/>
      <w:lvlText w:val="(%2)"/>
      <w:lvlJc w:val="left"/>
      <w:pPr>
        <w:tabs>
          <w:tab w:val="num" w:pos="1417"/>
        </w:tabs>
        <w:ind w:left="1417" w:hanging="793"/>
      </w:pPr>
      <w:rPr>
        <w:b w:val="0"/>
        <w:i w:val="0"/>
        <w:sz w:val="18"/>
      </w:rPr>
    </w:lvl>
    <w:lvl w:ilvl="2">
      <w:start w:val="1"/>
      <w:numFmt w:val="lowerRoman"/>
      <w:pStyle w:val="ListRoman3"/>
      <w:lvlText w:val="(%3)"/>
      <w:lvlJc w:val="left"/>
      <w:pPr>
        <w:tabs>
          <w:tab w:val="num" w:pos="1928"/>
        </w:tabs>
        <w:ind w:left="1928" w:hanging="511"/>
      </w:pPr>
      <w:rPr>
        <w:b w:val="0"/>
        <w:i w:val="0"/>
        <w:sz w:val="18"/>
      </w:rPr>
    </w:lvl>
    <w:lvl w:ilvl="3">
      <w:start w:val="1"/>
      <w:numFmt w:val="decimal"/>
      <w:lvlText w:val="(%4)"/>
      <w:lvlJc w:val="left"/>
      <w:pPr>
        <w:tabs>
          <w:tab w:val="num" w:pos="2438"/>
        </w:tabs>
        <w:ind w:left="2438" w:hanging="510"/>
      </w:pPr>
      <w:rPr>
        <w:b w:val="0"/>
        <w:i w:val="0"/>
        <w:sz w:val="20"/>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8D65E05"/>
    <w:multiLevelType w:val="multilevel"/>
    <w:tmpl w:val="86002D38"/>
    <w:lvl w:ilvl="0">
      <w:start w:val="1"/>
      <w:numFmt w:val="decimal"/>
      <w:lvlText w:val="%1."/>
      <w:lvlJc w:val="left"/>
      <w:pPr>
        <w:tabs>
          <w:tab w:val="num" w:pos="624"/>
        </w:tabs>
        <w:ind w:left="624" w:hanging="624"/>
      </w:pPr>
      <w:rPr>
        <w:b w:val="0"/>
        <w:i w:val="0"/>
        <w:sz w:val="20"/>
      </w:rPr>
    </w:lvl>
    <w:lvl w:ilvl="1">
      <w:start w:val="1"/>
      <w:numFmt w:val="decimal"/>
      <w:pStyle w:val="ListLegal2"/>
      <w:lvlText w:val="%1.%2"/>
      <w:lvlJc w:val="left"/>
      <w:pPr>
        <w:tabs>
          <w:tab w:val="num" w:pos="624"/>
        </w:tabs>
        <w:ind w:left="624" w:hanging="624"/>
      </w:pPr>
      <w:rPr>
        <w:b w:val="0"/>
        <w:i w:val="0"/>
        <w:sz w:val="20"/>
      </w:rPr>
    </w:lvl>
    <w:lvl w:ilvl="2">
      <w:start w:val="1"/>
      <w:numFmt w:val="decimal"/>
      <w:pStyle w:val="ListLegal3"/>
      <w:lvlText w:val="%1.%2.%3"/>
      <w:lvlJc w:val="left"/>
      <w:pPr>
        <w:tabs>
          <w:tab w:val="num" w:pos="1417"/>
        </w:tabs>
        <w:ind w:left="1417" w:hanging="793"/>
      </w:pPr>
      <w:rPr>
        <w:b w:val="0"/>
        <w:i w:val="0"/>
        <w:sz w:val="18"/>
      </w:rPr>
    </w:lvl>
    <w:lvl w:ilvl="3">
      <w:start w:val="1"/>
      <w:numFmt w:val="decimal"/>
      <w:pStyle w:val="ListArabic4"/>
      <w:lvlText w:val="(%4)"/>
      <w:lvlJc w:val="left"/>
      <w:pPr>
        <w:tabs>
          <w:tab w:val="num" w:pos="2438"/>
        </w:tabs>
        <w:ind w:left="2438" w:hanging="510"/>
      </w:pPr>
      <w:rPr>
        <w:b w:val="0"/>
        <w:i w:val="0"/>
        <w:sz w:val="20"/>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D067609"/>
    <w:multiLevelType w:val="multilevel"/>
    <w:tmpl w:val="2D0EE268"/>
    <w:lvl w:ilvl="0">
      <w:start w:val="1"/>
      <w:numFmt w:val="decimal"/>
      <w:lvlText w:val="%1."/>
      <w:lvlJc w:val="left"/>
      <w:pPr>
        <w:tabs>
          <w:tab w:val="num" w:pos="624"/>
        </w:tabs>
        <w:ind w:left="624" w:hanging="624"/>
      </w:pPr>
      <w:rPr>
        <w:b w:val="0"/>
        <w:i w:val="0"/>
        <w:sz w:val="20"/>
      </w:rPr>
    </w:lvl>
    <w:lvl w:ilvl="1">
      <w:start w:val="1"/>
      <w:numFmt w:val="decimal"/>
      <w:lvlText w:val="%1.%2"/>
      <w:lvlJc w:val="left"/>
      <w:pPr>
        <w:tabs>
          <w:tab w:val="num" w:pos="908"/>
        </w:tabs>
        <w:ind w:left="908" w:hanging="624"/>
      </w:pPr>
      <w:rPr>
        <w:rFonts w:ascii="Times New Roman" w:hAnsi="Times New Roman" w:cs="Times New Roman"/>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417"/>
        </w:tabs>
        <w:ind w:left="1417" w:hanging="793"/>
      </w:pPr>
      <w:rPr>
        <w:rFonts w:ascii="Times New Roman" w:hAnsi="Times New Roman" w:cs="Times New Roman" w:hint="default"/>
        <w:b w:val="0"/>
        <w:i w:val="0"/>
        <w:sz w:val="18"/>
      </w:rPr>
    </w:lvl>
    <w:lvl w:ilvl="3">
      <w:start w:val="1"/>
      <w:numFmt w:val="lowerLetter"/>
      <w:lvlText w:val="(%4)"/>
      <w:lvlJc w:val="left"/>
      <w:pPr>
        <w:tabs>
          <w:tab w:val="num" w:pos="1928"/>
        </w:tabs>
        <w:ind w:left="1928" w:hanging="511"/>
      </w:pPr>
      <w:rPr>
        <w:b w:val="0"/>
        <w:i w:val="0"/>
        <w:sz w:val="20"/>
      </w:rPr>
    </w:lvl>
    <w:lvl w:ilvl="4">
      <w:start w:val="1"/>
      <w:numFmt w:val="lowerRoman"/>
      <w:lvlText w:val="(%5)"/>
      <w:lvlJc w:val="left"/>
      <w:pPr>
        <w:tabs>
          <w:tab w:val="num" w:pos="2438"/>
        </w:tabs>
        <w:ind w:left="2438" w:hanging="510"/>
      </w:pPr>
      <w:rPr>
        <w:b w:val="0"/>
        <w:i w:val="0"/>
        <w:sz w:val="18"/>
      </w:rPr>
    </w:lvl>
    <w:lvl w:ilvl="5">
      <w:start w:val="1"/>
      <w:numFmt w:val="decimal"/>
      <w:lvlText w:val="(%6)"/>
      <w:lvlJc w:val="left"/>
      <w:pPr>
        <w:tabs>
          <w:tab w:val="num" w:pos="2948"/>
        </w:tabs>
        <w:ind w:left="2948" w:hanging="510"/>
      </w:pPr>
      <w:rPr>
        <w:b w:val="0"/>
        <w:i w:val="0"/>
        <w:sz w:val="20"/>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num" w:pos="0"/>
        </w:tabs>
        <w:ind w:left="0" w:firstLine="0"/>
      </w:pPr>
      <w:rPr>
        <w:b/>
        <w:i w:val="0"/>
        <w:caps/>
        <w:smallCaps w:val="0"/>
        <w:sz w:val="22"/>
      </w:rPr>
    </w:lvl>
  </w:abstractNum>
  <w:abstractNum w:abstractNumId="7" w15:restartNumberingAfterBreak="0">
    <w:nsid w:val="41A212F4"/>
    <w:multiLevelType w:val="multilevel"/>
    <w:tmpl w:val="FA6EFE42"/>
    <w:lvl w:ilvl="0">
      <w:start w:val="1"/>
      <w:numFmt w:val="decimal"/>
      <w:pStyle w:val="Para1"/>
      <w:lvlText w:val="%1."/>
      <w:lvlJc w:val="left"/>
      <w:pPr>
        <w:tabs>
          <w:tab w:val="num" w:pos="720"/>
        </w:tabs>
        <w:ind w:left="720" w:hanging="720"/>
      </w:pPr>
      <w:rPr>
        <w:rFonts w:ascii="Book Antiqua" w:hAnsi="Book Antiqua" w:hint="default"/>
        <w:sz w:val="24"/>
      </w:rPr>
    </w:lvl>
    <w:lvl w:ilvl="1">
      <w:start w:val="1"/>
      <w:numFmt w:val="lowerLetter"/>
      <w:lvlText w:val="%2)"/>
      <w:lvlJc w:val="left"/>
      <w:pPr>
        <w:tabs>
          <w:tab w:val="num" w:pos="1440"/>
        </w:tabs>
        <w:ind w:left="1440" w:hanging="720"/>
      </w:pPr>
      <w:rPr>
        <w:rFonts w:ascii="Book Antiqua" w:hAnsi="Book Antiqua" w:hint="default"/>
        <w:sz w:val="24"/>
      </w:rPr>
    </w:lvl>
    <w:lvl w:ilvl="2">
      <w:start w:val="1"/>
      <w:numFmt w:val="lowerRoman"/>
      <w:lvlText w:val="%3)"/>
      <w:lvlJc w:val="left"/>
      <w:pPr>
        <w:tabs>
          <w:tab w:val="num" w:pos="2160"/>
        </w:tabs>
        <w:ind w:left="2160" w:hanging="720"/>
      </w:pPr>
      <w:rPr>
        <w:rFonts w:ascii="Book Antiqua" w:hAnsi="Book Antiqua" w:hint="default"/>
        <w:sz w:val="24"/>
      </w:rPr>
    </w:lvl>
    <w:lvl w:ilvl="3">
      <w:start w:val="1"/>
      <w:numFmt w:val="bullet"/>
      <w:pStyle w:val="para4"/>
      <w:lvlText w:val=""/>
      <w:lvlJc w:val="left"/>
      <w:pPr>
        <w:tabs>
          <w:tab w:val="num" w:pos="2160"/>
        </w:tabs>
        <w:ind w:left="2160" w:hanging="720"/>
      </w:pPr>
      <w:rPr>
        <w:rFonts w:ascii="Symbol" w:hAnsi="Symbol" w:hint="default"/>
        <w:sz w:val="24"/>
      </w:rPr>
    </w:lvl>
    <w:lvl w:ilvl="4">
      <w:start w:val="1"/>
      <w:numFmt w:val="bullet"/>
      <w:pStyle w:val="para5"/>
      <w:lvlText w:val=""/>
      <w:lvlJc w:val="left"/>
      <w:pPr>
        <w:tabs>
          <w:tab w:val="num" w:pos="2160"/>
        </w:tabs>
        <w:ind w:left="2160" w:hanging="720"/>
      </w:pPr>
      <w:rPr>
        <w:rFonts w:ascii="Symbol" w:hAnsi="Symbol" w:hint="default"/>
        <w:sz w:val="24"/>
      </w:rPr>
    </w:lvl>
    <w:lvl w:ilvl="5">
      <w:start w:val="1"/>
      <w:numFmt w:val="none"/>
      <w:lvlText w:val=""/>
      <w:lvlJc w:val="left"/>
      <w:pPr>
        <w:tabs>
          <w:tab w:val="num" w:pos="2520"/>
        </w:tabs>
        <w:ind w:left="2520" w:hanging="1080"/>
      </w:pPr>
      <w:rPr>
        <w:rFonts w:hint="default"/>
      </w:rPr>
    </w:lvl>
    <w:lvl w:ilvl="6">
      <w:start w:val="1"/>
      <w:numFmt w:val="none"/>
      <w:lvlText w:val=""/>
      <w:lvlJc w:val="left"/>
      <w:pPr>
        <w:tabs>
          <w:tab w:val="num" w:pos="2520"/>
        </w:tabs>
        <w:ind w:left="2520" w:hanging="1080"/>
      </w:pPr>
      <w:rPr>
        <w:rFonts w:hint="default"/>
      </w:rPr>
    </w:lvl>
    <w:lvl w:ilvl="7">
      <w:start w:val="1"/>
      <w:numFmt w:val="none"/>
      <w:lvlText w:val="%1.%2.%3.%4.%5.%6.%7.%8."/>
      <w:lvlJc w:val="left"/>
      <w:pPr>
        <w:tabs>
          <w:tab w:val="num" w:pos="4320"/>
        </w:tabs>
        <w:ind w:left="3744" w:hanging="1224"/>
      </w:pPr>
    </w:lvl>
    <w:lvl w:ilvl="8">
      <w:start w:val="1"/>
      <w:numFmt w:val="none"/>
      <w:lvlText w:val="%1.%2.%3.%4.%5.%6.%7.%8.%9."/>
      <w:lvlJc w:val="left"/>
      <w:pPr>
        <w:tabs>
          <w:tab w:val="num" w:pos="5040"/>
        </w:tabs>
        <w:ind w:left="4320" w:hanging="1440"/>
      </w:pPr>
    </w:lvl>
  </w:abstractNum>
  <w:abstractNum w:abstractNumId="8" w15:restartNumberingAfterBreak="0">
    <w:nsid w:val="541E56FE"/>
    <w:multiLevelType w:val="hybridMultilevel"/>
    <w:tmpl w:val="33246184"/>
    <w:lvl w:ilvl="0" w:tplc="2DA0A840">
      <w:start w:val="1"/>
      <w:numFmt w:val="lowerLetter"/>
      <w:pStyle w:val="Nadpis6"/>
      <w:lvlText w:val="(%1)"/>
      <w:lvlJc w:val="left"/>
      <w:pPr>
        <w:ind w:left="3158"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3878" w:hanging="360"/>
      </w:pPr>
    </w:lvl>
    <w:lvl w:ilvl="2" w:tplc="0405001B" w:tentative="1">
      <w:start w:val="1"/>
      <w:numFmt w:val="lowerRoman"/>
      <w:lvlText w:val="%3."/>
      <w:lvlJc w:val="right"/>
      <w:pPr>
        <w:ind w:left="4598" w:hanging="180"/>
      </w:pPr>
    </w:lvl>
    <w:lvl w:ilvl="3" w:tplc="0405000F" w:tentative="1">
      <w:start w:val="1"/>
      <w:numFmt w:val="decimal"/>
      <w:lvlText w:val="%4."/>
      <w:lvlJc w:val="left"/>
      <w:pPr>
        <w:ind w:left="5318" w:hanging="360"/>
      </w:pPr>
    </w:lvl>
    <w:lvl w:ilvl="4" w:tplc="04050019" w:tentative="1">
      <w:start w:val="1"/>
      <w:numFmt w:val="lowerLetter"/>
      <w:lvlText w:val="%5."/>
      <w:lvlJc w:val="left"/>
      <w:pPr>
        <w:ind w:left="6038" w:hanging="360"/>
      </w:pPr>
    </w:lvl>
    <w:lvl w:ilvl="5" w:tplc="0405001B" w:tentative="1">
      <w:start w:val="1"/>
      <w:numFmt w:val="lowerRoman"/>
      <w:lvlText w:val="%6."/>
      <w:lvlJc w:val="right"/>
      <w:pPr>
        <w:ind w:left="6758" w:hanging="180"/>
      </w:pPr>
    </w:lvl>
    <w:lvl w:ilvl="6" w:tplc="0405000F" w:tentative="1">
      <w:start w:val="1"/>
      <w:numFmt w:val="decimal"/>
      <w:lvlText w:val="%7."/>
      <w:lvlJc w:val="left"/>
      <w:pPr>
        <w:ind w:left="7478" w:hanging="360"/>
      </w:pPr>
    </w:lvl>
    <w:lvl w:ilvl="7" w:tplc="04050019" w:tentative="1">
      <w:start w:val="1"/>
      <w:numFmt w:val="lowerLetter"/>
      <w:lvlText w:val="%8."/>
      <w:lvlJc w:val="left"/>
      <w:pPr>
        <w:ind w:left="8198" w:hanging="360"/>
      </w:pPr>
    </w:lvl>
    <w:lvl w:ilvl="8" w:tplc="0405001B" w:tentative="1">
      <w:start w:val="1"/>
      <w:numFmt w:val="lowerRoman"/>
      <w:lvlText w:val="%9."/>
      <w:lvlJc w:val="right"/>
      <w:pPr>
        <w:ind w:left="8918" w:hanging="180"/>
      </w:pPr>
    </w:lvl>
  </w:abstractNum>
  <w:abstractNum w:abstractNumId="9" w15:restartNumberingAfterBreak="0">
    <w:nsid w:val="59AE3EEF"/>
    <w:multiLevelType w:val="multilevel"/>
    <w:tmpl w:val="1C600EE0"/>
    <w:lvl w:ilvl="0">
      <w:start w:val="1"/>
      <w:numFmt w:val="decimal"/>
      <w:lvlText w:val="%1."/>
      <w:lvlJc w:val="left"/>
      <w:pPr>
        <w:tabs>
          <w:tab w:val="num" w:pos="720"/>
        </w:tabs>
        <w:ind w:left="720" w:hanging="720"/>
      </w:pPr>
      <w:rPr>
        <w:rFonts w:ascii="Book Antiqua" w:hAnsi="Book Antiqua" w:hint="default"/>
        <w:sz w:val="24"/>
      </w:rPr>
    </w:lvl>
    <w:lvl w:ilvl="1">
      <w:start w:val="1"/>
      <w:numFmt w:val="lowerLetter"/>
      <w:pStyle w:val="para2"/>
      <w:lvlText w:val="%2)"/>
      <w:lvlJc w:val="left"/>
      <w:pPr>
        <w:tabs>
          <w:tab w:val="num" w:pos="1440"/>
        </w:tabs>
        <w:ind w:left="1440" w:hanging="720"/>
      </w:pPr>
      <w:rPr>
        <w:rFonts w:ascii="Book Antiqua" w:hAnsi="Book Antiqua" w:hint="default"/>
        <w:sz w:val="24"/>
      </w:rPr>
    </w:lvl>
    <w:lvl w:ilvl="2">
      <w:start w:val="1"/>
      <w:numFmt w:val="lowerRoman"/>
      <w:lvlText w:val="%3)"/>
      <w:lvlJc w:val="left"/>
      <w:pPr>
        <w:tabs>
          <w:tab w:val="num" w:pos="2160"/>
        </w:tabs>
        <w:ind w:left="2160" w:hanging="720"/>
      </w:pPr>
      <w:rPr>
        <w:rFonts w:ascii="Book Antiqua" w:hAnsi="Book Antiqua" w:hint="default"/>
        <w:sz w:val="24"/>
      </w:rPr>
    </w:lvl>
    <w:lvl w:ilvl="3">
      <w:start w:val="1"/>
      <w:numFmt w:val="bullet"/>
      <w:lvlText w:val=""/>
      <w:lvlJc w:val="left"/>
      <w:pPr>
        <w:tabs>
          <w:tab w:val="num" w:pos="2160"/>
        </w:tabs>
        <w:ind w:left="2160" w:hanging="720"/>
      </w:pPr>
      <w:rPr>
        <w:rFonts w:ascii="Symbol" w:hAnsi="Symbol" w:hint="default"/>
        <w:sz w:val="24"/>
      </w:rPr>
    </w:lvl>
    <w:lvl w:ilvl="4">
      <w:start w:val="1"/>
      <w:numFmt w:val="bullet"/>
      <w:lvlText w:val=""/>
      <w:lvlJc w:val="left"/>
      <w:pPr>
        <w:tabs>
          <w:tab w:val="num" w:pos="2160"/>
        </w:tabs>
        <w:ind w:left="2160" w:hanging="720"/>
      </w:pPr>
      <w:rPr>
        <w:rFonts w:ascii="Symbol" w:hAnsi="Symbol" w:hint="default"/>
        <w:sz w:val="24"/>
      </w:rPr>
    </w:lvl>
    <w:lvl w:ilvl="5">
      <w:start w:val="1"/>
      <w:numFmt w:val="none"/>
      <w:lvlText w:val=""/>
      <w:lvlJc w:val="left"/>
      <w:pPr>
        <w:tabs>
          <w:tab w:val="num" w:pos="2520"/>
        </w:tabs>
        <w:ind w:left="2520" w:hanging="1080"/>
      </w:pPr>
      <w:rPr>
        <w:rFonts w:hint="default"/>
      </w:rPr>
    </w:lvl>
    <w:lvl w:ilvl="6">
      <w:start w:val="1"/>
      <w:numFmt w:val="none"/>
      <w:lvlText w:val=""/>
      <w:lvlJc w:val="left"/>
      <w:pPr>
        <w:tabs>
          <w:tab w:val="num" w:pos="2520"/>
        </w:tabs>
        <w:ind w:left="2520" w:hanging="1080"/>
      </w:pPr>
      <w:rPr>
        <w:rFonts w:hint="default"/>
      </w:rPr>
    </w:lvl>
    <w:lvl w:ilvl="7">
      <w:start w:val="1"/>
      <w:numFmt w:val="none"/>
      <w:lvlText w:val="%1.%2.%3.%4.%5.%6.%7.%8."/>
      <w:lvlJc w:val="left"/>
      <w:pPr>
        <w:tabs>
          <w:tab w:val="num" w:pos="4320"/>
        </w:tabs>
        <w:ind w:left="3744" w:hanging="1224"/>
      </w:pPr>
    </w:lvl>
    <w:lvl w:ilvl="8">
      <w:start w:val="1"/>
      <w:numFmt w:val="none"/>
      <w:lvlText w:val="%1.%2.%3.%4.%5.%6.%7.%8.%9."/>
      <w:lvlJc w:val="left"/>
      <w:pPr>
        <w:tabs>
          <w:tab w:val="num" w:pos="5040"/>
        </w:tabs>
        <w:ind w:left="4320" w:hanging="1440"/>
      </w:pPr>
    </w:lvl>
  </w:abstractNum>
  <w:abstractNum w:abstractNumId="10" w15:restartNumberingAfterBreak="0">
    <w:nsid w:val="5E872444"/>
    <w:multiLevelType w:val="multilevel"/>
    <w:tmpl w:val="3D96ED02"/>
    <w:lvl w:ilvl="0">
      <w:start w:val="1"/>
      <w:numFmt w:val="decimal"/>
      <w:pStyle w:val="Nadpis9"/>
      <w:suff w:val="nothing"/>
      <w:lvlText w:val="PŘÍLOHA %1"/>
      <w:lvlJc w:val="left"/>
      <w:pPr>
        <w:ind w:left="0" w:firstLine="0"/>
      </w:pPr>
      <w:rPr>
        <w:rFonts w:ascii="Times New Roman" w:hAnsi="Times New Roman" w:cs="Times New Roman" w:hint="default"/>
        <w:bCs w:val="0"/>
        <w:i w:val="0"/>
        <w:iC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Ploha1"/>
      <w:lvlText w:val="%2"/>
      <w:lvlJc w:val="left"/>
      <w:pPr>
        <w:ind w:left="624" w:hanging="624"/>
      </w:pPr>
      <w:rPr>
        <w:rFonts w:hint="default"/>
        <w:b w:val="0"/>
        <w:i w:val="0"/>
        <w:color w:val="auto"/>
        <w:sz w:val="20"/>
        <w:szCs w:val="20"/>
      </w:rPr>
    </w:lvl>
    <w:lvl w:ilvl="2">
      <w:start w:val="1"/>
      <w:numFmt w:val="decimal"/>
      <w:pStyle w:val="Ploha2"/>
      <w:lvlText w:val="%2.%3"/>
      <w:lvlJc w:val="left"/>
      <w:pPr>
        <w:ind w:left="624" w:hanging="624"/>
      </w:pPr>
      <w:rPr>
        <w:rFonts w:hint="default"/>
        <w:b w:val="0"/>
        <w:i w:val="0"/>
        <w:color w:val="auto"/>
        <w:sz w:val="18"/>
      </w:rPr>
    </w:lvl>
    <w:lvl w:ilvl="3">
      <w:start w:val="1"/>
      <w:numFmt w:val="decimal"/>
      <w:pStyle w:val="Ploha3"/>
      <w:lvlText w:val="%2.%3.%4"/>
      <w:lvlJc w:val="left"/>
      <w:pPr>
        <w:tabs>
          <w:tab w:val="num" w:pos="1247"/>
        </w:tabs>
        <w:ind w:left="510" w:firstLine="114"/>
      </w:pPr>
      <w:rPr>
        <w:rFonts w:hint="default"/>
        <w:b w:val="0"/>
        <w:i w:val="0"/>
        <w:color w:val="auto"/>
        <w:sz w:val="18"/>
      </w:rPr>
    </w:lvl>
    <w:lvl w:ilvl="4">
      <w:start w:val="1"/>
      <w:numFmt w:val="lowerLetter"/>
      <w:pStyle w:val="Ploha4"/>
      <w:lvlText w:val="(%5)"/>
      <w:lvlJc w:val="left"/>
      <w:pPr>
        <w:tabs>
          <w:tab w:val="num" w:pos="624"/>
        </w:tabs>
        <w:ind w:left="510" w:firstLine="114"/>
      </w:pPr>
      <w:rPr>
        <w:rFonts w:hint="default"/>
        <w:b w:val="0"/>
        <w:i w:val="0"/>
        <w:color w:val="auto"/>
        <w:sz w:val="18"/>
      </w:rPr>
    </w:lvl>
    <w:lvl w:ilvl="5">
      <w:start w:val="1"/>
      <w:numFmt w:val="lowerRoman"/>
      <w:pStyle w:val="Ploha6"/>
      <w:lvlText w:val="(%6)"/>
      <w:lvlJc w:val="left"/>
      <w:pPr>
        <w:ind w:left="510" w:firstLine="737"/>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69C345F"/>
    <w:multiLevelType w:val="multilevel"/>
    <w:tmpl w:val="82F20356"/>
    <w:lvl w:ilvl="0">
      <w:start w:val="1"/>
      <w:numFmt w:val="decimal"/>
      <w:pStyle w:val="ListLegal1"/>
      <w:lvlText w:val="(%1)"/>
      <w:lvlJc w:val="left"/>
      <w:pPr>
        <w:tabs>
          <w:tab w:val="num" w:pos="766"/>
        </w:tabs>
        <w:ind w:left="766" w:hanging="624"/>
      </w:pPr>
      <w:rPr>
        <w:rFonts w:hint="default"/>
        <w:b w:val="0"/>
        <w:i w:val="0"/>
        <w:color w:val="auto"/>
        <w:sz w:val="20"/>
      </w:rPr>
    </w:lvl>
    <w:lvl w:ilvl="1">
      <w:start w:val="1"/>
      <w:numFmt w:val="decimal"/>
      <w:pStyle w:val="ListArabic2"/>
      <w:lvlText w:val="(%2)"/>
      <w:lvlJc w:val="left"/>
      <w:pPr>
        <w:tabs>
          <w:tab w:val="num" w:pos="1559"/>
        </w:tabs>
        <w:ind w:left="1559" w:hanging="793"/>
      </w:pPr>
      <w:rPr>
        <w:b w:val="0"/>
        <w:i w:val="0"/>
        <w:sz w:val="20"/>
      </w:rPr>
    </w:lvl>
    <w:lvl w:ilvl="2">
      <w:start w:val="1"/>
      <w:numFmt w:val="decimal"/>
      <w:pStyle w:val="ListArabic3"/>
      <w:lvlText w:val="(%3)"/>
      <w:lvlJc w:val="left"/>
      <w:pPr>
        <w:tabs>
          <w:tab w:val="num" w:pos="2070"/>
        </w:tabs>
        <w:ind w:left="2070" w:hanging="511"/>
      </w:pPr>
      <w:rPr>
        <w:b w:val="0"/>
        <w:i w:val="0"/>
        <w:sz w:val="20"/>
      </w:rPr>
    </w:lvl>
    <w:lvl w:ilvl="3">
      <w:start w:val="1"/>
      <w:numFmt w:val="decimal"/>
      <w:lvlText w:val="(%4)"/>
      <w:lvlJc w:val="left"/>
      <w:pPr>
        <w:tabs>
          <w:tab w:val="num" w:pos="2580"/>
        </w:tabs>
        <w:ind w:left="2580" w:hanging="510"/>
      </w:pPr>
      <w:rPr>
        <w:b w:val="0"/>
        <w:i w:val="0"/>
        <w:sz w:val="20"/>
      </w:rPr>
    </w:lvl>
    <w:lvl w:ilvl="4">
      <w:start w:val="1"/>
      <w:numFmt w:val="none"/>
      <w:suff w:val="nothing"/>
      <w:lvlText w:val=""/>
      <w:lvlJc w:val="left"/>
      <w:pPr>
        <w:ind w:left="142" w:firstLine="0"/>
      </w:pPr>
    </w:lvl>
    <w:lvl w:ilvl="5">
      <w:start w:val="1"/>
      <w:numFmt w:val="none"/>
      <w:suff w:val="nothing"/>
      <w:lvlText w:val=""/>
      <w:lvlJc w:val="left"/>
      <w:pPr>
        <w:ind w:left="142" w:firstLine="0"/>
      </w:pPr>
    </w:lvl>
    <w:lvl w:ilvl="6">
      <w:start w:val="1"/>
      <w:numFmt w:val="none"/>
      <w:suff w:val="nothing"/>
      <w:lvlText w:val=""/>
      <w:lvlJc w:val="left"/>
      <w:pPr>
        <w:ind w:left="142" w:firstLine="0"/>
      </w:pPr>
    </w:lvl>
    <w:lvl w:ilvl="7">
      <w:start w:val="1"/>
      <w:numFmt w:val="none"/>
      <w:suff w:val="nothing"/>
      <w:lvlText w:val=""/>
      <w:lvlJc w:val="left"/>
      <w:pPr>
        <w:ind w:left="142" w:firstLine="0"/>
      </w:pPr>
    </w:lvl>
    <w:lvl w:ilvl="8">
      <w:start w:val="1"/>
      <w:numFmt w:val="none"/>
      <w:suff w:val="nothing"/>
      <w:lvlText w:val=""/>
      <w:lvlJc w:val="left"/>
      <w:pPr>
        <w:ind w:left="142" w:firstLine="0"/>
      </w:pPr>
    </w:lvl>
  </w:abstractNum>
  <w:abstractNum w:abstractNumId="12" w15:restartNumberingAfterBreak="0">
    <w:nsid w:val="70F36F74"/>
    <w:multiLevelType w:val="hybridMultilevel"/>
    <w:tmpl w:val="FF506CA8"/>
    <w:lvl w:ilvl="0" w:tplc="F03252DE">
      <w:start w:val="1"/>
      <w:numFmt w:val="decimal"/>
      <w:lvlText w:val="(%1)"/>
      <w:lvlJc w:val="left"/>
      <w:pPr>
        <w:ind w:left="720" w:hanging="360"/>
      </w:pPr>
      <w:rPr>
        <w:rFonts w:hint="default"/>
        <w:color w:val="auto"/>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40122A7"/>
    <w:multiLevelType w:val="multilevel"/>
    <w:tmpl w:val="C77803E2"/>
    <w:lvl w:ilvl="0">
      <w:start w:val="1"/>
      <w:numFmt w:val="decimal"/>
      <w:pStyle w:val="Nadpis1"/>
      <w:lvlText w:val="%1."/>
      <w:lvlJc w:val="left"/>
      <w:pPr>
        <w:tabs>
          <w:tab w:val="num" w:pos="624"/>
        </w:tabs>
        <w:ind w:left="624" w:hanging="624"/>
      </w:pPr>
      <w:rPr>
        <w:rFonts w:hint="default"/>
        <w:b w:val="0"/>
        <w:i w:val="0"/>
        <w:sz w:val="20"/>
      </w:rPr>
    </w:lvl>
    <w:lvl w:ilvl="1">
      <w:start w:val="1"/>
      <w:numFmt w:val="decimal"/>
      <w:pStyle w:val="Nadpis2"/>
      <w:lvlText w:val="%1.%2"/>
      <w:lvlJc w:val="left"/>
      <w:pPr>
        <w:tabs>
          <w:tab w:val="num" w:pos="624"/>
        </w:tabs>
        <w:ind w:left="624" w:hanging="624"/>
      </w:pPr>
      <w:rPr>
        <w:rFonts w:hint="default"/>
        <w:b w:val="0"/>
        <w:i w:val="0"/>
        <w:sz w:val="20"/>
      </w:rPr>
    </w:lvl>
    <w:lvl w:ilvl="2">
      <w:start w:val="1"/>
      <w:numFmt w:val="decimal"/>
      <w:pStyle w:val="Nadpis3"/>
      <w:lvlText w:val="%1.%2.%3"/>
      <w:lvlJc w:val="left"/>
      <w:pPr>
        <w:tabs>
          <w:tab w:val="num" w:pos="1418"/>
        </w:tabs>
        <w:ind w:left="1418" w:hanging="794"/>
      </w:pPr>
      <w:rPr>
        <w:rFonts w:ascii="Times New Roman" w:hAnsi="Times New Roman" w:cs="Times New Roman" w:hint="default"/>
        <w:b w:val="0"/>
        <w:i w:val="0"/>
        <w:sz w:val="18"/>
      </w:rPr>
    </w:lvl>
    <w:lvl w:ilvl="3">
      <w:start w:val="1"/>
      <w:numFmt w:val="lowerLetter"/>
      <w:pStyle w:val="Nadpis4"/>
      <w:lvlText w:val="(%4)"/>
      <w:lvlJc w:val="left"/>
      <w:pPr>
        <w:tabs>
          <w:tab w:val="num" w:pos="1928"/>
        </w:tabs>
        <w:ind w:left="1928" w:hanging="510"/>
      </w:pPr>
      <w:rPr>
        <w:rFonts w:hint="default"/>
        <w:b w:val="0"/>
        <w:i w:val="0"/>
        <w:sz w:val="18"/>
        <w:szCs w:val="18"/>
      </w:rPr>
    </w:lvl>
    <w:lvl w:ilvl="4">
      <w:start w:val="1"/>
      <w:numFmt w:val="lowerRoman"/>
      <w:pStyle w:val="Nadpis5"/>
      <w:lvlText w:val="(%5)"/>
      <w:lvlJc w:val="left"/>
      <w:pPr>
        <w:tabs>
          <w:tab w:val="num" w:pos="2438"/>
        </w:tabs>
        <w:ind w:left="2438" w:hanging="510"/>
      </w:pPr>
      <w:rPr>
        <w:rFonts w:hint="default"/>
        <w:b w:val="0"/>
        <w:i w:val="0"/>
        <w:sz w:val="18"/>
      </w:rPr>
    </w:lvl>
    <w:lvl w:ilvl="5">
      <w:start w:val="1"/>
      <w:numFmt w:val="decimal"/>
      <w:lvlText w:val="(%6)"/>
      <w:lvlJc w:val="left"/>
      <w:pPr>
        <w:tabs>
          <w:tab w:val="num" w:pos="2948"/>
        </w:tabs>
        <w:ind w:left="2948" w:hanging="510"/>
      </w:pPr>
      <w:rPr>
        <w:rFonts w:hint="default"/>
        <w:b w:val="0"/>
        <w:i w:val="0"/>
        <w:sz w:val="20"/>
      </w:rPr>
    </w:lvl>
    <w:lvl w:ilvl="6">
      <w:start w:val="1"/>
      <w:numFmt w:val="none"/>
      <w:pStyle w:val="Nadpis7"/>
      <w:suff w:val="nothing"/>
      <w:lvlText w:val=""/>
      <w:lvlJc w:val="left"/>
      <w:pPr>
        <w:ind w:left="0" w:firstLine="0"/>
      </w:pPr>
      <w:rPr>
        <w:rFonts w:hint="default"/>
      </w:rPr>
    </w:lvl>
    <w:lvl w:ilvl="7">
      <w:start w:val="1"/>
      <w:numFmt w:val="none"/>
      <w:pStyle w:val="Nadpis8"/>
      <w:suff w:val="nothing"/>
      <w:lvlText w:val=""/>
      <w:lvlJc w:val="left"/>
      <w:pPr>
        <w:ind w:left="0" w:firstLine="0"/>
      </w:pPr>
      <w:rPr>
        <w:rFonts w:hint="default"/>
      </w:rPr>
    </w:lvl>
    <w:lvl w:ilvl="8">
      <w:start w:val="1"/>
      <w:numFmt w:val="decimal"/>
      <w:lvlRestart w:val="0"/>
      <w:suff w:val="nothing"/>
      <w:lvlText w:val="Příloha %9"/>
      <w:lvlJc w:val="left"/>
      <w:pPr>
        <w:ind w:left="4253" w:firstLine="0"/>
      </w:pPr>
      <w:rPr>
        <w:rFonts w:ascii="Times New Roman" w:hAnsi="Times New Roman" w:hint="default"/>
        <w:b/>
        <w:i w:val="0"/>
        <w:caps/>
        <w:strike w:val="0"/>
        <w:dstrike w:val="0"/>
        <w:vanish w:val="0"/>
        <w:sz w:val="20"/>
        <w:vertAlign w:val="baseline"/>
      </w:rPr>
    </w:lvl>
  </w:abstractNum>
  <w:abstractNum w:abstractNumId="14" w15:restartNumberingAfterBreak="0">
    <w:nsid w:val="7A5A2544"/>
    <w:multiLevelType w:val="multilevel"/>
    <w:tmpl w:val="CC1E1808"/>
    <w:lvl w:ilvl="0">
      <w:start w:val="1"/>
      <w:numFmt w:val="upperLetter"/>
      <w:lvlRestart w:val="0"/>
      <w:pStyle w:val="PartHeadings"/>
      <w:suff w:val="space"/>
      <w:lvlText w:val="Part %1"/>
      <w:lvlJc w:val="left"/>
      <w:pPr>
        <w:tabs>
          <w:tab w:val="num" w:pos="1440"/>
        </w:tabs>
        <w:ind w:left="720" w:hanging="363"/>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2"/>
  </w:num>
  <w:num w:numId="2">
    <w:abstractNumId w:val="11"/>
  </w:num>
  <w:num w:numId="3">
    <w:abstractNumId w:val="4"/>
  </w:num>
  <w:num w:numId="4">
    <w:abstractNumId w:val="1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7"/>
  </w:num>
  <w:num w:numId="9">
    <w:abstractNumId w:val="9"/>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0"/>
  </w:num>
  <w:num w:numId="13">
    <w:abstractNumId w:val="8"/>
  </w:num>
  <w:num w:numId="14">
    <w:abstractNumId w:val="10"/>
    <w:lvlOverride w:ilvl="0">
      <w:lvl w:ilvl="0">
        <w:start w:val="1"/>
        <w:numFmt w:val="decimal"/>
        <w:pStyle w:val="Nadpis9"/>
        <w:suff w:val="nothing"/>
        <w:lvlText w:val="PŘÍLOHA %1"/>
        <w:lvlJc w:val="left"/>
        <w:pPr>
          <w:ind w:left="0" w:firstLine="0"/>
        </w:pPr>
        <w:rPr>
          <w:rFonts w:ascii="Times New Roman" w:hAnsi="Times New Roman" w:cs="Times New Roman" w:hint="default"/>
          <w:bCs w:val="0"/>
          <w:i w:val="0"/>
          <w:iC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Ploha1"/>
        <w:lvlText w:val="%2."/>
        <w:lvlJc w:val="left"/>
        <w:pPr>
          <w:tabs>
            <w:tab w:val="num" w:pos="624"/>
          </w:tabs>
          <w:ind w:left="624" w:hanging="624"/>
        </w:pPr>
        <w:rPr>
          <w:rFonts w:hint="default"/>
          <w:b w:val="0"/>
          <w:i w:val="0"/>
          <w:color w:val="auto"/>
          <w:sz w:val="20"/>
          <w:szCs w:val="20"/>
        </w:rPr>
      </w:lvl>
    </w:lvlOverride>
    <w:lvlOverride w:ilvl="2">
      <w:lvl w:ilvl="2">
        <w:start w:val="1"/>
        <w:numFmt w:val="decimal"/>
        <w:pStyle w:val="Ploha2"/>
        <w:lvlText w:val="%2.%3"/>
        <w:lvlJc w:val="left"/>
        <w:pPr>
          <w:tabs>
            <w:tab w:val="num" w:pos="624"/>
          </w:tabs>
          <w:ind w:left="624" w:hanging="624"/>
        </w:pPr>
        <w:rPr>
          <w:rFonts w:hint="default"/>
          <w:b w:val="0"/>
          <w:i w:val="0"/>
          <w:color w:val="auto"/>
          <w:sz w:val="18"/>
        </w:rPr>
      </w:lvl>
    </w:lvlOverride>
    <w:lvlOverride w:ilvl="3">
      <w:lvl w:ilvl="3">
        <w:start w:val="1"/>
        <w:numFmt w:val="decimal"/>
        <w:pStyle w:val="Ploha3"/>
        <w:lvlText w:val="%2.%3.%4"/>
        <w:lvlJc w:val="left"/>
        <w:pPr>
          <w:tabs>
            <w:tab w:val="num" w:pos="1247"/>
          </w:tabs>
          <w:ind w:left="1247" w:hanging="623"/>
        </w:pPr>
        <w:rPr>
          <w:rFonts w:hint="default"/>
          <w:b w:val="0"/>
          <w:i w:val="0"/>
          <w:color w:val="auto"/>
          <w:sz w:val="18"/>
        </w:rPr>
      </w:lvl>
    </w:lvlOverride>
    <w:lvlOverride w:ilvl="4">
      <w:lvl w:ilvl="4">
        <w:start w:val="1"/>
        <w:numFmt w:val="lowerLetter"/>
        <w:pStyle w:val="Ploha4"/>
        <w:lvlText w:val="(%5)"/>
        <w:lvlJc w:val="left"/>
        <w:pPr>
          <w:tabs>
            <w:tab w:val="num" w:pos="1758"/>
          </w:tabs>
          <w:ind w:left="1758" w:hanging="511"/>
        </w:pPr>
        <w:rPr>
          <w:rFonts w:hint="default"/>
          <w:b w:val="0"/>
          <w:i w:val="0"/>
          <w:color w:val="auto"/>
          <w:sz w:val="18"/>
        </w:rPr>
      </w:lvl>
    </w:lvlOverride>
    <w:lvlOverride w:ilvl="5">
      <w:lvl w:ilvl="5">
        <w:start w:val="1"/>
        <w:numFmt w:val="lowerRoman"/>
        <w:pStyle w:val="Ploha6"/>
        <w:lvlText w:val="(%6)"/>
        <w:lvlJc w:val="left"/>
        <w:pPr>
          <w:tabs>
            <w:tab w:val="num" w:pos="2268"/>
          </w:tabs>
          <w:ind w:left="2268" w:hanging="510"/>
        </w:pPr>
        <w:rPr>
          <w:rFonts w:hint="default"/>
          <w:sz w:val="18"/>
          <w:szCs w:val="18"/>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3"/>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3"/>
  </w:num>
  <w:num w:numId="21">
    <w:abstractNumId w:val="13"/>
  </w:num>
  <w:num w:numId="22">
    <w:abstractNumId w:val="13"/>
  </w:num>
  <w:num w:numId="2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grammar="clean"/>
  <w:defaultTabStop w:val="709"/>
  <w:hyphenationZone w:val="425"/>
  <w:noPunctuationKerning/>
  <w:characterSpacingControl w:val="doNotCompress"/>
  <w:hdrShapeDefaults>
    <o:shapedefaults v:ext="edit" spidmax="18433"/>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DDD"/>
    <w:rsid w:val="00003555"/>
    <w:rsid w:val="000040A2"/>
    <w:rsid w:val="00004EB9"/>
    <w:rsid w:val="000073E0"/>
    <w:rsid w:val="00010B1A"/>
    <w:rsid w:val="00010BB6"/>
    <w:rsid w:val="00011623"/>
    <w:rsid w:val="00015D4F"/>
    <w:rsid w:val="0002559D"/>
    <w:rsid w:val="000255F1"/>
    <w:rsid w:val="00025B09"/>
    <w:rsid w:val="00026BB5"/>
    <w:rsid w:val="00027FD6"/>
    <w:rsid w:val="00033EFF"/>
    <w:rsid w:val="00034411"/>
    <w:rsid w:val="0003458A"/>
    <w:rsid w:val="00034ED2"/>
    <w:rsid w:val="0003523B"/>
    <w:rsid w:val="0003606D"/>
    <w:rsid w:val="000371C9"/>
    <w:rsid w:val="00037C80"/>
    <w:rsid w:val="00041891"/>
    <w:rsid w:val="00041973"/>
    <w:rsid w:val="000429EF"/>
    <w:rsid w:val="00042F59"/>
    <w:rsid w:val="00043D67"/>
    <w:rsid w:val="0004584B"/>
    <w:rsid w:val="00045DBA"/>
    <w:rsid w:val="00047DF5"/>
    <w:rsid w:val="00050586"/>
    <w:rsid w:val="000513B7"/>
    <w:rsid w:val="00051766"/>
    <w:rsid w:val="000534BE"/>
    <w:rsid w:val="000535C2"/>
    <w:rsid w:val="00053C31"/>
    <w:rsid w:val="00054798"/>
    <w:rsid w:val="00055AA4"/>
    <w:rsid w:val="000568DB"/>
    <w:rsid w:val="00060A4D"/>
    <w:rsid w:val="0006175E"/>
    <w:rsid w:val="000630D7"/>
    <w:rsid w:val="00064326"/>
    <w:rsid w:val="00065BF7"/>
    <w:rsid w:val="0006786A"/>
    <w:rsid w:val="000701A9"/>
    <w:rsid w:val="000706D6"/>
    <w:rsid w:val="0007614A"/>
    <w:rsid w:val="000765B2"/>
    <w:rsid w:val="0007675C"/>
    <w:rsid w:val="00081D06"/>
    <w:rsid w:val="000847B4"/>
    <w:rsid w:val="000850A7"/>
    <w:rsid w:val="0009230D"/>
    <w:rsid w:val="0009355E"/>
    <w:rsid w:val="00094AAF"/>
    <w:rsid w:val="00096C23"/>
    <w:rsid w:val="00096E02"/>
    <w:rsid w:val="00097B42"/>
    <w:rsid w:val="000A088E"/>
    <w:rsid w:val="000A0F20"/>
    <w:rsid w:val="000A1838"/>
    <w:rsid w:val="000A33A7"/>
    <w:rsid w:val="000A4C15"/>
    <w:rsid w:val="000A50FC"/>
    <w:rsid w:val="000B00D0"/>
    <w:rsid w:val="000B1A2A"/>
    <w:rsid w:val="000B2181"/>
    <w:rsid w:val="000B23AC"/>
    <w:rsid w:val="000B3219"/>
    <w:rsid w:val="000B341F"/>
    <w:rsid w:val="000B4A65"/>
    <w:rsid w:val="000B6F28"/>
    <w:rsid w:val="000C20B6"/>
    <w:rsid w:val="000C3733"/>
    <w:rsid w:val="000C3D78"/>
    <w:rsid w:val="000C508D"/>
    <w:rsid w:val="000C6ABD"/>
    <w:rsid w:val="000D036B"/>
    <w:rsid w:val="000D197E"/>
    <w:rsid w:val="000D3275"/>
    <w:rsid w:val="000D3608"/>
    <w:rsid w:val="000D4CA8"/>
    <w:rsid w:val="000D4D2F"/>
    <w:rsid w:val="000D508F"/>
    <w:rsid w:val="000D75C4"/>
    <w:rsid w:val="000E14F4"/>
    <w:rsid w:val="000E24ED"/>
    <w:rsid w:val="000E49FC"/>
    <w:rsid w:val="000F00B4"/>
    <w:rsid w:val="000F30BA"/>
    <w:rsid w:val="000F374F"/>
    <w:rsid w:val="000F5153"/>
    <w:rsid w:val="000F5524"/>
    <w:rsid w:val="000F6D34"/>
    <w:rsid w:val="000F6FE3"/>
    <w:rsid w:val="00100883"/>
    <w:rsid w:val="00101EB1"/>
    <w:rsid w:val="00102250"/>
    <w:rsid w:val="00102BBD"/>
    <w:rsid w:val="00102D25"/>
    <w:rsid w:val="00105D04"/>
    <w:rsid w:val="001106D2"/>
    <w:rsid w:val="0011112F"/>
    <w:rsid w:val="0011249C"/>
    <w:rsid w:val="001124E1"/>
    <w:rsid w:val="00113634"/>
    <w:rsid w:val="001142F4"/>
    <w:rsid w:val="00120BC8"/>
    <w:rsid w:val="0012168C"/>
    <w:rsid w:val="001219D1"/>
    <w:rsid w:val="001268B6"/>
    <w:rsid w:val="001270EC"/>
    <w:rsid w:val="00127571"/>
    <w:rsid w:val="00127AC2"/>
    <w:rsid w:val="0013381C"/>
    <w:rsid w:val="00133CB4"/>
    <w:rsid w:val="00137C8A"/>
    <w:rsid w:val="00137CDA"/>
    <w:rsid w:val="00137DED"/>
    <w:rsid w:val="0014356A"/>
    <w:rsid w:val="00145DCF"/>
    <w:rsid w:val="00147C60"/>
    <w:rsid w:val="0015151D"/>
    <w:rsid w:val="00152AD8"/>
    <w:rsid w:val="00152AE0"/>
    <w:rsid w:val="00152C95"/>
    <w:rsid w:val="001536BE"/>
    <w:rsid w:val="00156F1A"/>
    <w:rsid w:val="0015724F"/>
    <w:rsid w:val="0015785B"/>
    <w:rsid w:val="00157A95"/>
    <w:rsid w:val="00157C96"/>
    <w:rsid w:val="00160517"/>
    <w:rsid w:val="00161060"/>
    <w:rsid w:val="00161874"/>
    <w:rsid w:val="00161E6C"/>
    <w:rsid w:val="001632E9"/>
    <w:rsid w:val="001639D5"/>
    <w:rsid w:val="00165E29"/>
    <w:rsid w:val="00166E36"/>
    <w:rsid w:val="00167400"/>
    <w:rsid w:val="00170792"/>
    <w:rsid w:val="00172919"/>
    <w:rsid w:val="00172973"/>
    <w:rsid w:val="001738BF"/>
    <w:rsid w:val="0017681D"/>
    <w:rsid w:val="00176C07"/>
    <w:rsid w:val="001801CB"/>
    <w:rsid w:val="00180E04"/>
    <w:rsid w:val="001812DF"/>
    <w:rsid w:val="00181402"/>
    <w:rsid w:val="001814A3"/>
    <w:rsid w:val="0018310E"/>
    <w:rsid w:val="00183563"/>
    <w:rsid w:val="001839BE"/>
    <w:rsid w:val="00184476"/>
    <w:rsid w:val="001847D1"/>
    <w:rsid w:val="00184D1D"/>
    <w:rsid w:val="00186772"/>
    <w:rsid w:val="001933E4"/>
    <w:rsid w:val="00193AF8"/>
    <w:rsid w:val="00194283"/>
    <w:rsid w:val="001942A3"/>
    <w:rsid w:val="00194845"/>
    <w:rsid w:val="00195B60"/>
    <w:rsid w:val="00195D0A"/>
    <w:rsid w:val="00195D30"/>
    <w:rsid w:val="0019736E"/>
    <w:rsid w:val="001A2787"/>
    <w:rsid w:val="001A27F0"/>
    <w:rsid w:val="001A55C6"/>
    <w:rsid w:val="001A5AF1"/>
    <w:rsid w:val="001A5C3A"/>
    <w:rsid w:val="001A752D"/>
    <w:rsid w:val="001B0008"/>
    <w:rsid w:val="001B0DA8"/>
    <w:rsid w:val="001B1592"/>
    <w:rsid w:val="001B58F0"/>
    <w:rsid w:val="001B5D93"/>
    <w:rsid w:val="001B7F6D"/>
    <w:rsid w:val="001C303C"/>
    <w:rsid w:val="001C3518"/>
    <w:rsid w:val="001C3564"/>
    <w:rsid w:val="001C4161"/>
    <w:rsid w:val="001C6E41"/>
    <w:rsid w:val="001D1DB2"/>
    <w:rsid w:val="001E035F"/>
    <w:rsid w:val="001E27A6"/>
    <w:rsid w:val="001F3244"/>
    <w:rsid w:val="001F3287"/>
    <w:rsid w:val="001F7CAE"/>
    <w:rsid w:val="002004EB"/>
    <w:rsid w:val="00200583"/>
    <w:rsid w:val="00201D43"/>
    <w:rsid w:val="00201DD8"/>
    <w:rsid w:val="002028F5"/>
    <w:rsid w:val="002033FD"/>
    <w:rsid w:val="00204C26"/>
    <w:rsid w:val="00204E14"/>
    <w:rsid w:val="00205781"/>
    <w:rsid w:val="00205DBC"/>
    <w:rsid w:val="0020684D"/>
    <w:rsid w:val="00206F0C"/>
    <w:rsid w:val="00207BE3"/>
    <w:rsid w:val="00207ED0"/>
    <w:rsid w:val="002105F8"/>
    <w:rsid w:val="00210E56"/>
    <w:rsid w:val="00210FA4"/>
    <w:rsid w:val="00216EC8"/>
    <w:rsid w:val="0022227B"/>
    <w:rsid w:val="00222BB0"/>
    <w:rsid w:val="0022384E"/>
    <w:rsid w:val="00223FDB"/>
    <w:rsid w:val="00226052"/>
    <w:rsid w:val="002265CF"/>
    <w:rsid w:val="002270B5"/>
    <w:rsid w:val="00227A01"/>
    <w:rsid w:val="00230A1C"/>
    <w:rsid w:val="00231306"/>
    <w:rsid w:val="002321CA"/>
    <w:rsid w:val="002341FE"/>
    <w:rsid w:val="00234682"/>
    <w:rsid w:val="00234ACE"/>
    <w:rsid w:val="00234B91"/>
    <w:rsid w:val="00235309"/>
    <w:rsid w:val="002353A2"/>
    <w:rsid w:val="00237A65"/>
    <w:rsid w:val="00243828"/>
    <w:rsid w:val="00244080"/>
    <w:rsid w:val="00246650"/>
    <w:rsid w:val="00246FCB"/>
    <w:rsid w:val="00250A05"/>
    <w:rsid w:val="0025158C"/>
    <w:rsid w:val="00251CAB"/>
    <w:rsid w:val="00251CFA"/>
    <w:rsid w:val="002520B4"/>
    <w:rsid w:val="00252FC4"/>
    <w:rsid w:val="00253692"/>
    <w:rsid w:val="00253CB3"/>
    <w:rsid w:val="00255B3B"/>
    <w:rsid w:val="00255B49"/>
    <w:rsid w:val="00257516"/>
    <w:rsid w:val="002616C5"/>
    <w:rsid w:val="00261CD4"/>
    <w:rsid w:val="002638CF"/>
    <w:rsid w:val="002660B6"/>
    <w:rsid w:val="00267090"/>
    <w:rsid w:val="0026773D"/>
    <w:rsid w:val="002702D6"/>
    <w:rsid w:val="0027230E"/>
    <w:rsid w:val="0027353A"/>
    <w:rsid w:val="00276DC5"/>
    <w:rsid w:val="002770C0"/>
    <w:rsid w:val="00280B56"/>
    <w:rsid w:val="0028409C"/>
    <w:rsid w:val="002858FB"/>
    <w:rsid w:val="002865FC"/>
    <w:rsid w:val="00286BCA"/>
    <w:rsid w:val="002904D6"/>
    <w:rsid w:val="00290F95"/>
    <w:rsid w:val="00291B5E"/>
    <w:rsid w:val="002922A5"/>
    <w:rsid w:val="00292407"/>
    <w:rsid w:val="00296C84"/>
    <w:rsid w:val="00297AEE"/>
    <w:rsid w:val="002A5A85"/>
    <w:rsid w:val="002A67AE"/>
    <w:rsid w:val="002A6BB2"/>
    <w:rsid w:val="002A6EE8"/>
    <w:rsid w:val="002B1E87"/>
    <w:rsid w:val="002B31AE"/>
    <w:rsid w:val="002B4E1D"/>
    <w:rsid w:val="002B5081"/>
    <w:rsid w:val="002B5236"/>
    <w:rsid w:val="002B5C08"/>
    <w:rsid w:val="002B67CD"/>
    <w:rsid w:val="002B6B8E"/>
    <w:rsid w:val="002C0089"/>
    <w:rsid w:val="002C0D5C"/>
    <w:rsid w:val="002C1FF0"/>
    <w:rsid w:val="002C235E"/>
    <w:rsid w:val="002C2B22"/>
    <w:rsid w:val="002C3477"/>
    <w:rsid w:val="002C6AD0"/>
    <w:rsid w:val="002D01E8"/>
    <w:rsid w:val="002D1927"/>
    <w:rsid w:val="002D275E"/>
    <w:rsid w:val="002D2E7C"/>
    <w:rsid w:val="002D36D0"/>
    <w:rsid w:val="002D480E"/>
    <w:rsid w:val="002D5839"/>
    <w:rsid w:val="002D7196"/>
    <w:rsid w:val="002E292E"/>
    <w:rsid w:val="002E4ED4"/>
    <w:rsid w:val="002E644A"/>
    <w:rsid w:val="002F08D9"/>
    <w:rsid w:val="002F1289"/>
    <w:rsid w:val="002F15FF"/>
    <w:rsid w:val="002F1E4F"/>
    <w:rsid w:val="002F5188"/>
    <w:rsid w:val="002F64C9"/>
    <w:rsid w:val="00300178"/>
    <w:rsid w:val="003022AF"/>
    <w:rsid w:val="003027E3"/>
    <w:rsid w:val="00303C09"/>
    <w:rsid w:val="00304D88"/>
    <w:rsid w:val="003074F2"/>
    <w:rsid w:val="00311319"/>
    <w:rsid w:val="003150F9"/>
    <w:rsid w:val="003170BF"/>
    <w:rsid w:val="00317ABA"/>
    <w:rsid w:val="0032416A"/>
    <w:rsid w:val="0032519A"/>
    <w:rsid w:val="003258AE"/>
    <w:rsid w:val="003278E3"/>
    <w:rsid w:val="003305EA"/>
    <w:rsid w:val="003322EA"/>
    <w:rsid w:val="0033260A"/>
    <w:rsid w:val="0033359F"/>
    <w:rsid w:val="00333773"/>
    <w:rsid w:val="003339A9"/>
    <w:rsid w:val="00335AEB"/>
    <w:rsid w:val="00335CCE"/>
    <w:rsid w:val="00335F25"/>
    <w:rsid w:val="00336013"/>
    <w:rsid w:val="003377E5"/>
    <w:rsid w:val="00340385"/>
    <w:rsid w:val="0034219C"/>
    <w:rsid w:val="003442BB"/>
    <w:rsid w:val="003476FD"/>
    <w:rsid w:val="00350C65"/>
    <w:rsid w:val="0035150B"/>
    <w:rsid w:val="00352600"/>
    <w:rsid w:val="00356971"/>
    <w:rsid w:val="00357D08"/>
    <w:rsid w:val="00361061"/>
    <w:rsid w:val="00361792"/>
    <w:rsid w:val="00361A83"/>
    <w:rsid w:val="0036311C"/>
    <w:rsid w:val="00363D1D"/>
    <w:rsid w:val="00365A86"/>
    <w:rsid w:val="00366083"/>
    <w:rsid w:val="0036644A"/>
    <w:rsid w:val="003674AC"/>
    <w:rsid w:val="00375815"/>
    <w:rsid w:val="003771E6"/>
    <w:rsid w:val="00380A5D"/>
    <w:rsid w:val="00381078"/>
    <w:rsid w:val="00381321"/>
    <w:rsid w:val="00382007"/>
    <w:rsid w:val="00382D55"/>
    <w:rsid w:val="00383492"/>
    <w:rsid w:val="003859AB"/>
    <w:rsid w:val="00385C02"/>
    <w:rsid w:val="00390DAE"/>
    <w:rsid w:val="003916ED"/>
    <w:rsid w:val="00391ECE"/>
    <w:rsid w:val="00392B0D"/>
    <w:rsid w:val="00393D9C"/>
    <w:rsid w:val="00394B3D"/>
    <w:rsid w:val="00394BB9"/>
    <w:rsid w:val="0039588B"/>
    <w:rsid w:val="00396296"/>
    <w:rsid w:val="00397508"/>
    <w:rsid w:val="0039764B"/>
    <w:rsid w:val="003A005D"/>
    <w:rsid w:val="003A21F5"/>
    <w:rsid w:val="003A633D"/>
    <w:rsid w:val="003A739E"/>
    <w:rsid w:val="003A7A3C"/>
    <w:rsid w:val="003B1E8B"/>
    <w:rsid w:val="003B679E"/>
    <w:rsid w:val="003B7820"/>
    <w:rsid w:val="003C1C1C"/>
    <w:rsid w:val="003C2794"/>
    <w:rsid w:val="003C39D8"/>
    <w:rsid w:val="003C4989"/>
    <w:rsid w:val="003C75DA"/>
    <w:rsid w:val="003D1298"/>
    <w:rsid w:val="003D270E"/>
    <w:rsid w:val="003D2F03"/>
    <w:rsid w:val="003D4C42"/>
    <w:rsid w:val="003D557E"/>
    <w:rsid w:val="003E24E0"/>
    <w:rsid w:val="003E256E"/>
    <w:rsid w:val="003E3BBB"/>
    <w:rsid w:val="003E5B5D"/>
    <w:rsid w:val="003E77DE"/>
    <w:rsid w:val="003F3424"/>
    <w:rsid w:val="0040039B"/>
    <w:rsid w:val="004022AD"/>
    <w:rsid w:val="004028F2"/>
    <w:rsid w:val="00403568"/>
    <w:rsid w:val="00404A55"/>
    <w:rsid w:val="00404B99"/>
    <w:rsid w:val="00405752"/>
    <w:rsid w:val="00406AEA"/>
    <w:rsid w:val="00406E8C"/>
    <w:rsid w:val="00407651"/>
    <w:rsid w:val="004101C8"/>
    <w:rsid w:val="00410A6B"/>
    <w:rsid w:val="00414F83"/>
    <w:rsid w:val="0041602E"/>
    <w:rsid w:val="00417D21"/>
    <w:rsid w:val="00420905"/>
    <w:rsid w:val="00420B4E"/>
    <w:rsid w:val="00421AF5"/>
    <w:rsid w:val="004262EB"/>
    <w:rsid w:val="0042630E"/>
    <w:rsid w:val="004273DC"/>
    <w:rsid w:val="00430CEE"/>
    <w:rsid w:val="00434757"/>
    <w:rsid w:val="00434DCA"/>
    <w:rsid w:val="00435145"/>
    <w:rsid w:val="00436200"/>
    <w:rsid w:val="00437B08"/>
    <w:rsid w:val="00441511"/>
    <w:rsid w:val="0044278A"/>
    <w:rsid w:val="00444742"/>
    <w:rsid w:val="00446EF8"/>
    <w:rsid w:val="00450C54"/>
    <w:rsid w:val="00453C57"/>
    <w:rsid w:val="004556DB"/>
    <w:rsid w:val="00456BCF"/>
    <w:rsid w:val="0045768E"/>
    <w:rsid w:val="00460F4F"/>
    <w:rsid w:val="00461322"/>
    <w:rsid w:val="0046499E"/>
    <w:rsid w:val="00464E66"/>
    <w:rsid w:val="00466E0A"/>
    <w:rsid w:val="0046776A"/>
    <w:rsid w:val="0047010D"/>
    <w:rsid w:val="004706B6"/>
    <w:rsid w:val="00474E1A"/>
    <w:rsid w:val="00477F19"/>
    <w:rsid w:val="004818FE"/>
    <w:rsid w:val="00483649"/>
    <w:rsid w:val="0048723E"/>
    <w:rsid w:val="00490050"/>
    <w:rsid w:val="00490D41"/>
    <w:rsid w:val="00491798"/>
    <w:rsid w:val="00494E65"/>
    <w:rsid w:val="00497B6D"/>
    <w:rsid w:val="004A17EE"/>
    <w:rsid w:val="004A297A"/>
    <w:rsid w:val="004A7A5F"/>
    <w:rsid w:val="004B224A"/>
    <w:rsid w:val="004B4646"/>
    <w:rsid w:val="004B55AD"/>
    <w:rsid w:val="004B587B"/>
    <w:rsid w:val="004B58AB"/>
    <w:rsid w:val="004C08B3"/>
    <w:rsid w:val="004C1003"/>
    <w:rsid w:val="004C2C6F"/>
    <w:rsid w:val="004C31DF"/>
    <w:rsid w:val="004C61FF"/>
    <w:rsid w:val="004C7192"/>
    <w:rsid w:val="004C7781"/>
    <w:rsid w:val="004D0FF6"/>
    <w:rsid w:val="004D47E9"/>
    <w:rsid w:val="004D4AD5"/>
    <w:rsid w:val="004D6271"/>
    <w:rsid w:val="004D6B32"/>
    <w:rsid w:val="004D73AD"/>
    <w:rsid w:val="004E0171"/>
    <w:rsid w:val="004E190A"/>
    <w:rsid w:val="004E47F9"/>
    <w:rsid w:val="004E5514"/>
    <w:rsid w:val="004F0152"/>
    <w:rsid w:val="004F1283"/>
    <w:rsid w:val="004F22EC"/>
    <w:rsid w:val="004F24A9"/>
    <w:rsid w:val="004F7AEE"/>
    <w:rsid w:val="00501517"/>
    <w:rsid w:val="00502557"/>
    <w:rsid w:val="00504EE0"/>
    <w:rsid w:val="005054D5"/>
    <w:rsid w:val="00510D5D"/>
    <w:rsid w:val="0051145D"/>
    <w:rsid w:val="00511CF9"/>
    <w:rsid w:val="0051299F"/>
    <w:rsid w:val="005144C7"/>
    <w:rsid w:val="005169AA"/>
    <w:rsid w:val="00516B02"/>
    <w:rsid w:val="00516BA2"/>
    <w:rsid w:val="00517EB5"/>
    <w:rsid w:val="005208FD"/>
    <w:rsid w:val="005218E0"/>
    <w:rsid w:val="00523D2B"/>
    <w:rsid w:val="005245BF"/>
    <w:rsid w:val="0052461A"/>
    <w:rsid w:val="00530D7C"/>
    <w:rsid w:val="00531156"/>
    <w:rsid w:val="0053117F"/>
    <w:rsid w:val="00531F08"/>
    <w:rsid w:val="005336C9"/>
    <w:rsid w:val="005338E9"/>
    <w:rsid w:val="00534621"/>
    <w:rsid w:val="005346BB"/>
    <w:rsid w:val="00534A31"/>
    <w:rsid w:val="00534CC9"/>
    <w:rsid w:val="00537563"/>
    <w:rsid w:val="00543DC6"/>
    <w:rsid w:val="00544437"/>
    <w:rsid w:val="005466C8"/>
    <w:rsid w:val="00547331"/>
    <w:rsid w:val="00547C8C"/>
    <w:rsid w:val="005504C8"/>
    <w:rsid w:val="005506F7"/>
    <w:rsid w:val="005519C2"/>
    <w:rsid w:val="00551DF7"/>
    <w:rsid w:val="0055362C"/>
    <w:rsid w:val="00553AF6"/>
    <w:rsid w:val="005553BF"/>
    <w:rsid w:val="0056087C"/>
    <w:rsid w:val="00560ABC"/>
    <w:rsid w:val="00561346"/>
    <w:rsid w:val="00571181"/>
    <w:rsid w:val="00571383"/>
    <w:rsid w:val="0057146B"/>
    <w:rsid w:val="0057212B"/>
    <w:rsid w:val="00575ADC"/>
    <w:rsid w:val="00577615"/>
    <w:rsid w:val="005777D6"/>
    <w:rsid w:val="00583ACC"/>
    <w:rsid w:val="0058463F"/>
    <w:rsid w:val="0058475B"/>
    <w:rsid w:val="00585E7D"/>
    <w:rsid w:val="00586C1E"/>
    <w:rsid w:val="00586C8E"/>
    <w:rsid w:val="005900A5"/>
    <w:rsid w:val="005923A8"/>
    <w:rsid w:val="00592C7B"/>
    <w:rsid w:val="00593227"/>
    <w:rsid w:val="005933CD"/>
    <w:rsid w:val="005950D8"/>
    <w:rsid w:val="00595323"/>
    <w:rsid w:val="00596CD0"/>
    <w:rsid w:val="005A04D1"/>
    <w:rsid w:val="005A16ED"/>
    <w:rsid w:val="005A2CED"/>
    <w:rsid w:val="005A3191"/>
    <w:rsid w:val="005A5411"/>
    <w:rsid w:val="005A5C9C"/>
    <w:rsid w:val="005A6869"/>
    <w:rsid w:val="005B02E4"/>
    <w:rsid w:val="005B06DD"/>
    <w:rsid w:val="005B0D86"/>
    <w:rsid w:val="005B2FCD"/>
    <w:rsid w:val="005B5005"/>
    <w:rsid w:val="005B6368"/>
    <w:rsid w:val="005B6FA8"/>
    <w:rsid w:val="005C03D7"/>
    <w:rsid w:val="005C1CD2"/>
    <w:rsid w:val="005C7063"/>
    <w:rsid w:val="005C70D5"/>
    <w:rsid w:val="005D002E"/>
    <w:rsid w:val="005D0A56"/>
    <w:rsid w:val="005D1B92"/>
    <w:rsid w:val="005D21D3"/>
    <w:rsid w:val="005D39A1"/>
    <w:rsid w:val="005D4415"/>
    <w:rsid w:val="005D4714"/>
    <w:rsid w:val="005D4E7E"/>
    <w:rsid w:val="005D5BDC"/>
    <w:rsid w:val="005E06BF"/>
    <w:rsid w:val="005E0A05"/>
    <w:rsid w:val="005E0AF7"/>
    <w:rsid w:val="005E14E0"/>
    <w:rsid w:val="005E2CEC"/>
    <w:rsid w:val="005E2CF3"/>
    <w:rsid w:val="005E54EB"/>
    <w:rsid w:val="005E5714"/>
    <w:rsid w:val="005E5883"/>
    <w:rsid w:val="005E5DCA"/>
    <w:rsid w:val="005E6D26"/>
    <w:rsid w:val="005F0A93"/>
    <w:rsid w:val="005F2184"/>
    <w:rsid w:val="005F4B8D"/>
    <w:rsid w:val="005F6485"/>
    <w:rsid w:val="00600A3F"/>
    <w:rsid w:val="006011C0"/>
    <w:rsid w:val="006035E9"/>
    <w:rsid w:val="00603AAD"/>
    <w:rsid w:val="00604F04"/>
    <w:rsid w:val="00605800"/>
    <w:rsid w:val="00605BE2"/>
    <w:rsid w:val="006069DE"/>
    <w:rsid w:val="00606D6D"/>
    <w:rsid w:val="00607673"/>
    <w:rsid w:val="00611B8E"/>
    <w:rsid w:val="00614037"/>
    <w:rsid w:val="00616AFF"/>
    <w:rsid w:val="00620252"/>
    <w:rsid w:val="006205F4"/>
    <w:rsid w:val="006208C5"/>
    <w:rsid w:val="00620BAE"/>
    <w:rsid w:val="00621250"/>
    <w:rsid w:val="0062148E"/>
    <w:rsid w:val="00624728"/>
    <w:rsid w:val="00624895"/>
    <w:rsid w:val="00624BDE"/>
    <w:rsid w:val="00627146"/>
    <w:rsid w:val="00630853"/>
    <w:rsid w:val="00635856"/>
    <w:rsid w:val="006360D7"/>
    <w:rsid w:val="006400BD"/>
    <w:rsid w:val="00640457"/>
    <w:rsid w:val="00641CEB"/>
    <w:rsid w:val="00642183"/>
    <w:rsid w:val="00642718"/>
    <w:rsid w:val="00643FE4"/>
    <w:rsid w:val="0064441F"/>
    <w:rsid w:val="00646196"/>
    <w:rsid w:val="00646977"/>
    <w:rsid w:val="006506FC"/>
    <w:rsid w:val="00652202"/>
    <w:rsid w:val="00653E15"/>
    <w:rsid w:val="00655BCF"/>
    <w:rsid w:val="006617C5"/>
    <w:rsid w:val="00661A98"/>
    <w:rsid w:val="00663618"/>
    <w:rsid w:val="006639FD"/>
    <w:rsid w:val="006666D8"/>
    <w:rsid w:val="006703EF"/>
    <w:rsid w:val="00670F55"/>
    <w:rsid w:val="00670F77"/>
    <w:rsid w:val="0067319F"/>
    <w:rsid w:val="006754E2"/>
    <w:rsid w:val="00675C80"/>
    <w:rsid w:val="00680592"/>
    <w:rsid w:val="00680A30"/>
    <w:rsid w:val="00680D30"/>
    <w:rsid w:val="0068117E"/>
    <w:rsid w:val="00685732"/>
    <w:rsid w:val="00685F96"/>
    <w:rsid w:val="00686F53"/>
    <w:rsid w:val="006873F5"/>
    <w:rsid w:val="006876BB"/>
    <w:rsid w:val="00687A25"/>
    <w:rsid w:val="00692E97"/>
    <w:rsid w:val="00695737"/>
    <w:rsid w:val="00695AF3"/>
    <w:rsid w:val="006969BF"/>
    <w:rsid w:val="006A0A6C"/>
    <w:rsid w:val="006A0ECC"/>
    <w:rsid w:val="006A4F6E"/>
    <w:rsid w:val="006A5076"/>
    <w:rsid w:val="006A66F8"/>
    <w:rsid w:val="006A6A6D"/>
    <w:rsid w:val="006A737B"/>
    <w:rsid w:val="006A7729"/>
    <w:rsid w:val="006B2E47"/>
    <w:rsid w:val="006B3D79"/>
    <w:rsid w:val="006B3FE8"/>
    <w:rsid w:val="006B48C4"/>
    <w:rsid w:val="006B5483"/>
    <w:rsid w:val="006B60BA"/>
    <w:rsid w:val="006C1004"/>
    <w:rsid w:val="006C2299"/>
    <w:rsid w:val="006C2B33"/>
    <w:rsid w:val="006C3109"/>
    <w:rsid w:val="006C40AA"/>
    <w:rsid w:val="006C5BA3"/>
    <w:rsid w:val="006C5C74"/>
    <w:rsid w:val="006C6FF2"/>
    <w:rsid w:val="006C7147"/>
    <w:rsid w:val="006D00CB"/>
    <w:rsid w:val="006D0305"/>
    <w:rsid w:val="006D507D"/>
    <w:rsid w:val="006D666F"/>
    <w:rsid w:val="006D7647"/>
    <w:rsid w:val="006E1444"/>
    <w:rsid w:val="006E150B"/>
    <w:rsid w:val="006E24A4"/>
    <w:rsid w:val="006E2BA8"/>
    <w:rsid w:val="006E468F"/>
    <w:rsid w:val="006E489A"/>
    <w:rsid w:val="006E4A36"/>
    <w:rsid w:val="006E4D32"/>
    <w:rsid w:val="006E53CF"/>
    <w:rsid w:val="006E573B"/>
    <w:rsid w:val="006F12D1"/>
    <w:rsid w:val="006F2C8A"/>
    <w:rsid w:val="006F416D"/>
    <w:rsid w:val="006F4611"/>
    <w:rsid w:val="006F6161"/>
    <w:rsid w:val="006F63F2"/>
    <w:rsid w:val="0070533A"/>
    <w:rsid w:val="007064F3"/>
    <w:rsid w:val="00707F31"/>
    <w:rsid w:val="00710952"/>
    <w:rsid w:val="00710B4A"/>
    <w:rsid w:val="00714E82"/>
    <w:rsid w:val="007155C7"/>
    <w:rsid w:val="007166B1"/>
    <w:rsid w:val="007176CF"/>
    <w:rsid w:val="0072118F"/>
    <w:rsid w:val="007211DB"/>
    <w:rsid w:val="007223D1"/>
    <w:rsid w:val="00722EDE"/>
    <w:rsid w:val="0072448E"/>
    <w:rsid w:val="00724612"/>
    <w:rsid w:val="00724C25"/>
    <w:rsid w:val="007251D2"/>
    <w:rsid w:val="00726C49"/>
    <w:rsid w:val="007307FF"/>
    <w:rsid w:val="007313F3"/>
    <w:rsid w:val="007315BA"/>
    <w:rsid w:val="00731DCC"/>
    <w:rsid w:val="00735A8B"/>
    <w:rsid w:val="00737D5D"/>
    <w:rsid w:val="0074022B"/>
    <w:rsid w:val="007404F9"/>
    <w:rsid w:val="00740612"/>
    <w:rsid w:val="00741C89"/>
    <w:rsid w:val="00741FEE"/>
    <w:rsid w:val="007431F8"/>
    <w:rsid w:val="00743274"/>
    <w:rsid w:val="00743A75"/>
    <w:rsid w:val="00743B90"/>
    <w:rsid w:val="0074590F"/>
    <w:rsid w:val="00752270"/>
    <w:rsid w:val="0075234A"/>
    <w:rsid w:val="007525BF"/>
    <w:rsid w:val="00754EE9"/>
    <w:rsid w:val="00757804"/>
    <w:rsid w:val="00760E3E"/>
    <w:rsid w:val="00761B61"/>
    <w:rsid w:val="00766C35"/>
    <w:rsid w:val="00770FB0"/>
    <w:rsid w:val="00771433"/>
    <w:rsid w:val="007721DB"/>
    <w:rsid w:val="00773D5F"/>
    <w:rsid w:val="007742D1"/>
    <w:rsid w:val="00781E27"/>
    <w:rsid w:val="00782085"/>
    <w:rsid w:val="0078228E"/>
    <w:rsid w:val="007839B7"/>
    <w:rsid w:val="007863AA"/>
    <w:rsid w:val="007869F9"/>
    <w:rsid w:val="00787749"/>
    <w:rsid w:val="00790A57"/>
    <w:rsid w:val="00792938"/>
    <w:rsid w:val="00792D50"/>
    <w:rsid w:val="00795BFC"/>
    <w:rsid w:val="007964E6"/>
    <w:rsid w:val="007A10A2"/>
    <w:rsid w:val="007A1799"/>
    <w:rsid w:val="007A1F73"/>
    <w:rsid w:val="007A4170"/>
    <w:rsid w:val="007A4582"/>
    <w:rsid w:val="007A5D9C"/>
    <w:rsid w:val="007A72E1"/>
    <w:rsid w:val="007B094D"/>
    <w:rsid w:val="007B364D"/>
    <w:rsid w:val="007B3801"/>
    <w:rsid w:val="007B3996"/>
    <w:rsid w:val="007B44A0"/>
    <w:rsid w:val="007B51AE"/>
    <w:rsid w:val="007B663A"/>
    <w:rsid w:val="007C19D5"/>
    <w:rsid w:val="007C1CA3"/>
    <w:rsid w:val="007C3891"/>
    <w:rsid w:val="007C3CA2"/>
    <w:rsid w:val="007C3CBC"/>
    <w:rsid w:val="007C4668"/>
    <w:rsid w:val="007D175D"/>
    <w:rsid w:val="007D1A0B"/>
    <w:rsid w:val="007D2110"/>
    <w:rsid w:val="007D24D3"/>
    <w:rsid w:val="007D4A71"/>
    <w:rsid w:val="007D5733"/>
    <w:rsid w:val="007D7BDA"/>
    <w:rsid w:val="007E1FF1"/>
    <w:rsid w:val="007E25EF"/>
    <w:rsid w:val="007E3168"/>
    <w:rsid w:val="007E3567"/>
    <w:rsid w:val="007E37AB"/>
    <w:rsid w:val="007E51EB"/>
    <w:rsid w:val="007F0261"/>
    <w:rsid w:val="007F1B82"/>
    <w:rsid w:val="007F3DDA"/>
    <w:rsid w:val="007F5319"/>
    <w:rsid w:val="007F562B"/>
    <w:rsid w:val="007F5B65"/>
    <w:rsid w:val="007F7078"/>
    <w:rsid w:val="00802E32"/>
    <w:rsid w:val="00804139"/>
    <w:rsid w:val="00804355"/>
    <w:rsid w:val="0080459C"/>
    <w:rsid w:val="00811323"/>
    <w:rsid w:val="00811CEA"/>
    <w:rsid w:val="00811F13"/>
    <w:rsid w:val="0081261B"/>
    <w:rsid w:val="00814845"/>
    <w:rsid w:val="00814ABF"/>
    <w:rsid w:val="00814EC3"/>
    <w:rsid w:val="00816861"/>
    <w:rsid w:val="00816AED"/>
    <w:rsid w:val="00817330"/>
    <w:rsid w:val="008174D3"/>
    <w:rsid w:val="0081784B"/>
    <w:rsid w:val="00820649"/>
    <w:rsid w:val="00822CD7"/>
    <w:rsid w:val="008261B1"/>
    <w:rsid w:val="00827150"/>
    <w:rsid w:val="00830D4A"/>
    <w:rsid w:val="0083209E"/>
    <w:rsid w:val="008324DC"/>
    <w:rsid w:val="00833F47"/>
    <w:rsid w:val="0083496B"/>
    <w:rsid w:val="00834F7D"/>
    <w:rsid w:val="008352A0"/>
    <w:rsid w:val="00835839"/>
    <w:rsid w:val="00835B75"/>
    <w:rsid w:val="00835D4A"/>
    <w:rsid w:val="008361CC"/>
    <w:rsid w:val="00836204"/>
    <w:rsid w:val="00840B48"/>
    <w:rsid w:val="00841FDD"/>
    <w:rsid w:val="008424A4"/>
    <w:rsid w:val="00847256"/>
    <w:rsid w:val="00847673"/>
    <w:rsid w:val="00847CD9"/>
    <w:rsid w:val="00850186"/>
    <w:rsid w:val="00850518"/>
    <w:rsid w:val="008515C5"/>
    <w:rsid w:val="00852DCE"/>
    <w:rsid w:val="008531AD"/>
    <w:rsid w:val="008535EB"/>
    <w:rsid w:val="00854827"/>
    <w:rsid w:val="00855757"/>
    <w:rsid w:val="00857CD3"/>
    <w:rsid w:val="00861B16"/>
    <w:rsid w:val="00863F0D"/>
    <w:rsid w:val="008643C3"/>
    <w:rsid w:val="00864629"/>
    <w:rsid w:val="00864D52"/>
    <w:rsid w:val="0086575A"/>
    <w:rsid w:val="00866CE4"/>
    <w:rsid w:val="00867B28"/>
    <w:rsid w:val="008726D6"/>
    <w:rsid w:val="008735EB"/>
    <w:rsid w:val="00874020"/>
    <w:rsid w:val="008748B5"/>
    <w:rsid w:val="00875716"/>
    <w:rsid w:val="0087573D"/>
    <w:rsid w:val="00875F4E"/>
    <w:rsid w:val="008770FF"/>
    <w:rsid w:val="00880F10"/>
    <w:rsid w:val="00881DAA"/>
    <w:rsid w:val="00884F77"/>
    <w:rsid w:val="0088559E"/>
    <w:rsid w:val="00885D97"/>
    <w:rsid w:val="00886C49"/>
    <w:rsid w:val="00887324"/>
    <w:rsid w:val="00887ED3"/>
    <w:rsid w:val="0089012B"/>
    <w:rsid w:val="008922B0"/>
    <w:rsid w:val="00893799"/>
    <w:rsid w:val="00893E66"/>
    <w:rsid w:val="00893FEA"/>
    <w:rsid w:val="008952A2"/>
    <w:rsid w:val="00897C98"/>
    <w:rsid w:val="008A1CB6"/>
    <w:rsid w:val="008A2B5C"/>
    <w:rsid w:val="008A64CC"/>
    <w:rsid w:val="008A7599"/>
    <w:rsid w:val="008B136B"/>
    <w:rsid w:val="008B2DD9"/>
    <w:rsid w:val="008B34EC"/>
    <w:rsid w:val="008B3979"/>
    <w:rsid w:val="008B4EC7"/>
    <w:rsid w:val="008B526F"/>
    <w:rsid w:val="008B6BBC"/>
    <w:rsid w:val="008B7B92"/>
    <w:rsid w:val="008C0086"/>
    <w:rsid w:val="008C00B1"/>
    <w:rsid w:val="008C362C"/>
    <w:rsid w:val="008C5F7B"/>
    <w:rsid w:val="008C65A0"/>
    <w:rsid w:val="008C6833"/>
    <w:rsid w:val="008C7CD9"/>
    <w:rsid w:val="008D048F"/>
    <w:rsid w:val="008D0522"/>
    <w:rsid w:val="008D0C0B"/>
    <w:rsid w:val="008D1405"/>
    <w:rsid w:val="008D14A6"/>
    <w:rsid w:val="008D1C8F"/>
    <w:rsid w:val="008D1DEB"/>
    <w:rsid w:val="008D3C8F"/>
    <w:rsid w:val="008D4D9D"/>
    <w:rsid w:val="008D6316"/>
    <w:rsid w:val="008D6CBA"/>
    <w:rsid w:val="008D6CE8"/>
    <w:rsid w:val="008E067F"/>
    <w:rsid w:val="008E1386"/>
    <w:rsid w:val="008E1B2A"/>
    <w:rsid w:val="008E2A05"/>
    <w:rsid w:val="008E2EC2"/>
    <w:rsid w:val="008E2EEB"/>
    <w:rsid w:val="008E3831"/>
    <w:rsid w:val="008E3B1C"/>
    <w:rsid w:val="008E48A3"/>
    <w:rsid w:val="008E53F1"/>
    <w:rsid w:val="008E6B76"/>
    <w:rsid w:val="008F1D86"/>
    <w:rsid w:val="008F1F81"/>
    <w:rsid w:val="008F310C"/>
    <w:rsid w:val="008F641A"/>
    <w:rsid w:val="008F6690"/>
    <w:rsid w:val="00900C4A"/>
    <w:rsid w:val="00903F17"/>
    <w:rsid w:val="009058A9"/>
    <w:rsid w:val="009060F3"/>
    <w:rsid w:val="009061B7"/>
    <w:rsid w:val="00910426"/>
    <w:rsid w:val="00914512"/>
    <w:rsid w:val="00914935"/>
    <w:rsid w:val="009177C6"/>
    <w:rsid w:val="009209B2"/>
    <w:rsid w:val="00921B5A"/>
    <w:rsid w:val="0092387A"/>
    <w:rsid w:val="009243BE"/>
    <w:rsid w:val="0092497B"/>
    <w:rsid w:val="009255AE"/>
    <w:rsid w:val="00926727"/>
    <w:rsid w:val="00926DE8"/>
    <w:rsid w:val="0092702A"/>
    <w:rsid w:val="00927E5D"/>
    <w:rsid w:val="00932767"/>
    <w:rsid w:val="0093515A"/>
    <w:rsid w:val="009410C5"/>
    <w:rsid w:val="00943005"/>
    <w:rsid w:val="00944FE1"/>
    <w:rsid w:val="009452EF"/>
    <w:rsid w:val="009468E1"/>
    <w:rsid w:val="00947203"/>
    <w:rsid w:val="009478E9"/>
    <w:rsid w:val="0095121F"/>
    <w:rsid w:val="009521FD"/>
    <w:rsid w:val="009528A3"/>
    <w:rsid w:val="00953C6B"/>
    <w:rsid w:val="00954B08"/>
    <w:rsid w:val="00954F8F"/>
    <w:rsid w:val="009567B5"/>
    <w:rsid w:val="009578FF"/>
    <w:rsid w:val="009601C8"/>
    <w:rsid w:val="00960FE1"/>
    <w:rsid w:val="00963F5D"/>
    <w:rsid w:val="00964C9D"/>
    <w:rsid w:val="00966266"/>
    <w:rsid w:val="00967BAA"/>
    <w:rsid w:val="00971160"/>
    <w:rsid w:val="00971C41"/>
    <w:rsid w:val="009730CE"/>
    <w:rsid w:val="009743E7"/>
    <w:rsid w:val="00976568"/>
    <w:rsid w:val="00977FED"/>
    <w:rsid w:val="009800A6"/>
    <w:rsid w:val="009805F1"/>
    <w:rsid w:val="00981C9B"/>
    <w:rsid w:val="009836AA"/>
    <w:rsid w:val="00984EBA"/>
    <w:rsid w:val="00985F7E"/>
    <w:rsid w:val="00986B7B"/>
    <w:rsid w:val="00987BD6"/>
    <w:rsid w:val="00991FAF"/>
    <w:rsid w:val="0099200D"/>
    <w:rsid w:val="009929F2"/>
    <w:rsid w:val="00993880"/>
    <w:rsid w:val="00993999"/>
    <w:rsid w:val="00996082"/>
    <w:rsid w:val="00996AE0"/>
    <w:rsid w:val="00997099"/>
    <w:rsid w:val="00997581"/>
    <w:rsid w:val="00997EFC"/>
    <w:rsid w:val="009A13EC"/>
    <w:rsid w:val="009A3941"/>
    <w:rsid w:val="009A3A2E"/>
    <w:rsid w:val="009A3A61"/>
    <w:rsid w:val="009A6D7F"/>
    <w:rsid w:val="009B0F48"/>
    <w:rsid w:val="009B4BF2"/>
    <w:rsid w:val="009B568E"/>
    <w:rsid w:val="009B5C1F"/>
    <w:rsid w:val="009B6A75"/>
    <w:rsid w:val="009B6C35"/>
    <w:rsid w:val="009B7571"/>
    <w:rsid w:val="009C1096"/>
    <w:rsid w:val="009C6FEA"/>
    <w:rsid w:val="009D1934"/>
    <w:rsid w:val="009D2074"/>
    <w:rsid w:val="009D35AB"/>
    <w:rsid w:val="009D38EB"/>
    <w:rsid w:val="009D5E46"/>
    <w:rsid w:val="009D739F"/>
    <w:rsid w:val="009E0D4F"/>
    <w:rsid w:val="009E1513"/>
    <w:rsid w:val="009E1922"/>
    <w:rsid w:val="009E19ED"/>
    <w:rsid w:val="009E2609"/>
    <w:rsid w:val="009E340A"/>
    <w:rsid w:val="009E376E"/>
    <w:rsid w:val="009E39AE"/>
    <w:rsid w:val="009E56F2"/>
    <w:rsid w:val="009E5A8D"/>
    <w:rsid w:val="009E62FC"/>
    <w:rsid w:val="009E671F"/>
    <w:rsid w:val="009E79A3"/>
    <w:rsid w:val="009E7B87"/>
    <w:rsid w:val="009E7F38"/>
    <w:rsid w:val="009F0120"/>
    <w:rsid w:val="009F16DF"/>
    <w:rsid w:val="009F23FB"/>
    <w:rsid w:val="009F56C5"/>
    <w:rsid w:val="009F74BF"/>
    <w:rsid w:val="009F7803"/>
    <w:rsid w:val="009F7DD3"/>
    <w:rsid w:val="00A015EE"/>
    <w:rsid w:val="00A0208F"/>
    <w:rsid w:val="00A03458"/>
    <w:rsid w:val="00A04A9C"/>
    <w:rsid w:val="00A05497"/>
    <w:rsid w:val="00A06C78"/>
    <w:rsid w:val="00A10FD7"/>
    <w:rsid w:val="00A11435"/>
    <w:rsid w:val="00A11A13"/>
    <w:rsid w:val="00A122FB"/>
    <w:rsid w:val="00A12B09"/>
    <w:rsid w:val="00A132E9"/>
    <w:rsid w:val="00A135A9"/>
    <w:rsid w:val="00A15699"/>
    <w:rsid w:val="00A15A41"/>
    <w:rsid w:val="00A17373"/>
    <w:rsid w:val="00A2096D"/>
    <w:rsid w:val="00A24E0A"/>
    <w:rsid w:val="00A26597"/>
    <w:rsid w:val="00A30683"/>
    <w:rsid w:val="00A32C37"/>
    <w:rsid w:val="00A3595D"/>
    <w:rsid w:val="00A423BB"/>
    <w:rsid w:val="00A4346D"/>
    <w:rsid w:val="00A43568"/>
    <w:rsid w:val="00A451C5"/>
    <w:rsid w:val="00A45305"/>
    <w:rsid w:val="00A46455"/>
    <w:rsid w:val="00A474B8"/>
    <w:rsid w:val="00A50953"/>
    <w:rsid w:val="00A5242D"/>
    <w:rsid w:val="00A52444"/>
    <w:rsid w:val="00A526C6"/>
    <w:rsid w:val="00A528FE"/>
    <w:rsid w:val="00A557D9"/>
    <w:rsid w:val="00A562EE"/>
    <w:rsid w:val="00A562F9"/>
    <w:rsid w:val="00A61F87"/>
    <w:rsid w:val="00A6224D"/>
    <w:rsid w:val="00A65617"/>
    <w:rsid w:val="00A660C4"/>
    <w:rsid w:val="00A6631B"/>
    <w:rsid w:val="00A6743C"/>
    <w:rsid w:val="00A72060"/>
    <w:rsid w:val="00A72221"/>
    <w:rsid w:val="00A72445"/>
    <w:rsid w:val="00A75DB6"/>
    <w:rsid w:val="00A75E2D"/>
    <w:rsid w:val="00A761D6"/>
    <w:rsid w:val="00A76BF9"/>
    <w:rsid w:val="00A809BA"/>
    <w:rsid w:val="00A81182"/>
    <w:rsid w:val="00A84BA3"/>
    <w:rsid w:val="00A85E0D"/>
    <w:rsid w:val="00A941DF"/>
    <w:rsid w:val="00A97A99"/>
    <w:rsid w:val="00A97E6F"/>
    <w:rsid w:val="00A97EA8"/>
    <w:rsid w:val="00AA10BF"/>
    <w:rsid w:val="00AA180D"/>
    <w:rsid w:val="00AA1CD8"/>
    <w:rsid w:val="00AA2156"/>
    <w:rsid w:val="00AA24D2"/>
    <w:rsid w:val="00AA3951"/>
    <w:rsid w:val="00AA3F34"/>
    <w:rsid w:val="00AA4006"/>
    <w:rsid w:val="00AA4296"/>
    <w:rsid w:val="00AA4645"/>
    <w:rsid w:val="00AA6612"/>
    <w:rsid w:val="00AA7266"/>
    <w:rsid w:val="00AA730C"/>
    <w:rsid w:val="00AB1420"/>
    <w:rsid w:val="00AB1C2B"/>
    <w:rsid w:val="00AB3EFA"/>
    <w:rsid w:val="00AB627E"/>
    <w:rsid w:val="00AB7171"/>
    <w:rsid w:val="00AB7DEB"/>
    <w:rsid w:val="00AC1E14"/>
    <w:rsid w:val="00AC2C22"/>
    <w:rsid w:val="00AC44BB"/>
    <w:rsid w:val="00AC6284"/>
    <w:rsid w:val="00AC68FB"/>
    <w:rsid w:val="00AD4B66"/>
    <w:rsid w:val="00AD717C"/>
    <w:rsid w:val="00AE013C"/>
    <w:rsid w:val="00AE02E7"/>
    <w:rsid w:val="00AE2842"/>
    <w:rsid w:val="00AE408C"/>
    <w:rsid w:val="00AE57B0"/>
    <w:rsid w:val="00AE77F4"/>
    <w:rsid w:val="00AE7C45"/>
    <w:rsid w:val="00AF01C5"/>
    <w:rsid w:val="00AF226F"/>
    <w:rsid w:val="00AF378C"/>
    <w:rsid w:val="00AF4239"/>
    <w:rsid w:val="00AF5B14"/>
    <w:rsid w:val="00B02F20"/>
    <w:rsid w:val="00B03568"/>
    <w:rsid w:val="00B03E21"/>
    <w:rsid w:val="00B04309"/>
    <w:rsid w:val="00B04525"/>
    <w:rsid w:val="00B048A7"/>
    <w:rsid w:val="00B0541F"/>
    <w:rsid w:val="00B05891"/>
    <w:rsid w:val="00B07A96"/>
    <w:rsid w:val="00B126BC"/>
    <w:rsid w:val="00B12A44"/>
    <w:rsid w:val="00B1415C"/>
    <w:rsid w:val="00B1559B"/>
    <w:rsid w:val="00B15CFD"/>
    <w:rsid w:val="00B15DCD"/>
    <w:rsid w:val="00B16391"/>
    <w:rsid w:val="00B2030F"/>
    <w:rsid w:val="00B20403"/>
    <w:rsid w:val="00B20571"/>
    <w:rsid w:val="00B20BD5"/>
    <w:rsid w:val="00B20EA5"/>
    <w:rsid w:val="00B24631"/>
    <w:rsid w:val="00B24E18"/>
    <w:rsid w:val="00B26B9A"/>
    <w:rsid w:val="00B301F0"/>
    <w:rsid w:val="00B310E0"/>
    <w:rsid w:val="00B32BE0"/>
    <w:rsid w:val="00B341BF"/>
    <w:rsid w:val="00B36DF2"/>
    <w:rsid w:val="00B37949"/>
    <w:rsid w:val="00B407AC"/>
    <w:rsid w:val="00B42A59"/>
    <w:rsid w:val="00B42AF7"/>
    <w:rsid w:val="00B435A1"/>
    <w:rsid w:val="00B43FE3"/>
    <w:rsid w:val="00B50205"/>
    <w:rsid w:val="00B53051"/>
    <w:rsid w:val="00B5499E"/>
    <w:rsid w:val="00B5593C"/>
    <w:rsid w:val="00B5598D"/>
    <w:rsid w:val="00B60353"/>
    <w:rsid w:val="00B60EE1"/>
    <w:rsid w:val="00B62180"/>
    <w:rsid w:val="00B65BF9"/>
    <w:rsid w:val="00B66BB3"/>
    <w:rsid w:val="00B72561"/>
    <w:rsid w:val="00B7261E"/>
    <w:rsid w:val="00B72797"/>
    <w:rsid w:val="00B73163"/>
    <w:rsid w:val="00B74DF5"/>
    <w:rsid w:val="00B77008"/>
    <w:rsid w:val="00B77605"/>
    <w:rsid w:val="00B829DB"/>
    <w:rsid w:val="00B83C7D"/>
    <w:rsid w:val="00B83E2A"/>
    <w:rsid w:val="00B84EA2"/>
    <w:rsid w:val="00B853A5"/>
    <w:rsid w:val="00B867B8"/>
    <w:rsid w:val="00B87216"/>
    <w:rsid w:val="00B905BF"/>
    <w:rsid w:val="00B92067"/>
    <w:rsid w:val="00B92299"/>
    <w:rsid w:val="00B92F29"/>
    <w:rsid w:val="00B948F8"/>
    <w:rsid w:val="00B970D5"/>
    <w:rsid w:val="00B97BC2"/>
    <w:rsid w:val="00BA0D7E"/>
    <w:rsid w:val="00BA0F49"/>
    <w:rsid w:val="00BA457C"/>
    <w:rsid w:val="00BA473E"/>
    <w:rsid w:val="00BA4F1F"/>
    <w:rsid w:val="00BA5414"/>
    <w:rsid w:val="00BA5F31"/>
    <w:rsid w:val="00BA6DA7"/>
    <w:rsid w:val="00BA6FF3"/>
    <w:rsid w:val="00BB1140"/>
    <w:rsid w:val="00BB296F"/>
    <w:rsid w:val="00BB2FD3"/>
    <w:rsid w:val="00BB4EF3"/>
    <w:rsid w:val="00BB533A"/>
    <w:rsid w:val="00BB681A"/>
    <w:rsid w:val="00BB68E6"/>
    <w:rsid w:val="00BB72B3"/>
    <w:rsid w:val="00BB7F2A"/>
    <w:rsid w:val="00BC08B4"/>
    <w:rsid w:val="00BC1432"/>
    <w:rsid w:val="00BC1644"/>
    <w:rsid w:val="00BC3674"/>
    <w:rsid w:val="00BC380B"/>
    <w:rsid w:val="00BC4556"/>
    <w:rsid w:val="00BC5F19"/>
    <w:rsid w:val="00BC64B8"/>
    <w:rsid w:val="00BC787E"/>
    <w:rsid w:val="00BD1CD7"/>
    <w:rsid w:val="00BD1E9B"/>
    <w:rsid w:val="00BD253A"/>
    <w:rsid w:val="00BD2E1D"/>
    <w:rsid w:val="00BD3FA1"/>
    <w:rsid w:val="00BD553D"/>
    <w:rsid w:val="00BD7940"/>
    <w:rsid w:val="00BD7B6C"/>
    <w:rsid w:val="00BD7E52"/>
    <w:rsid w:val="00BE04C0"/>
    <w:rsid w:val="00BE110D"/>
    <w:rsid w:val="00BE1F5C"/>
    <w:rsid w:val="00BE2321"/>
    <w:rsid w:val="00BE36B1"/>
    <w:rsid w:val="00BE5C82"/>
    <w:rsid w:val="00BE6727"/>
    <w:rsid w:val="00BE74EE"/>
    <w:rsid w:val="00BF097B"/>
    <w:rsid w:val="00BF0F2F"/>
    <w:rsid w:val="00BF3319"/>
    <w:rsid w:val="00BF3620"/>
    <w:rsid w:val="00BF5252"/>
    <w:rsid w:val="00BF570F"/>
    <w:rsid w:val="00BF5D9F"/>
    <w:rsid w:val="00BF758A"/>
    <w:rsid w:val="00C00388"/>
    <w:rsid w:val="00C00DDD"/>
    <w:rsid w:val="00C01483"/>
    <w:rsid w:val="00C02255"/>
    <w:rsid w:val="00C02D2A"/>
    <w:rsid w:val="00C0320F"/>
    <w:rsid w:val="00C03963"/>
    <w:rsid w:val="00C05FA7"/>
    <w:rsid w:val="00C060F0"/>
    <w:rsid w:val="00C06F0A"/>
    <w:rsid w:val="00C1078A"/>
    <w:rsid w:val="00C10CA6"/>
    <w:rsid w:val="00C13D96"/>
    <w:rsid w:val="00C14B71"/>
    <w:rsid w:val="00C15BFB"/>
    <w:rsid w:val="00C162B6"/>
    <w:rsid w:val="00C17AAB"/>
    <w:rsid w:val="00C20E3E"/>
    <w:rsid w:val="00C24C88"/>
    <w:rsid w:val="00C25BFC"/>
    <w:rsid w:val="00C34AA9"/>
    <w:rsid w:val="00C34DA1"/>
    <w:rsid w:val="00C35431"/>
    <w:rsid w:val="00C358A2"/>
    <w:rsid w:val="00C361E7"/>
    <w:rsid w:val="00C37C68"/>
    <w:rsid w:val="00C37C75"/>
    <w:rsid w:val="00C400FE"/>
    <w:rsid w:val="00C40EEF"/>
    <w:rsid w:val="00C41FE0"/>
    <w:rsid w:val="00C43DBA"/>
    <w:rsid w:val="00C47D59"/>
    <w:rsid w:val="00C50021"/>
    <w:rsid w:val="00C515A0"/>
    <w:rsid w:val="00C51B66"/>
    <w:rsid w:val="00C551A3"/>
    <w:rsid w:val="00C55E57"/>
    <w:rsid w:val="00C56BF5"/>
    <w:rsid w:val="00C57105"/>
    <w:rsid w:val="00C57315"/>
    <w:rsid w:val="00C61396"/>
    <w:rsid w:val="00C63A20"/>
    <w:rsid w:val="00C647E2"/>
    <w:rsid w:val="00C650A0"/>
    <w:rsid w:val="00C6565E"/>
    <w:rsid w:val="00C65B87"/>
    <w:rsid w:val="00C700BD"/>
    <w:rsid w:val="00C702D4"/>
    <w:rsid w:val="00C7218E"/>
    <w:rsid w:val="00C721A7"/>
    <w:rsid w:val="00C72788"/>
    <w:rsid w:val="00C8195A"/>
    <w:rsid w:val="00C82D58"/>
    <w:rsid w:val="00C91DD4"/>
    <w:rsid w:val="00C93EAB"/>
    <w:rsid w:val="00C95C25"/>
    <w:rsid w:val="00CA0FF2"/>
    <w:rsid w:val="00CA1235"/>
    <w:rsid w:val="00CA13C1"/>
    <w:rsid w:val="00CA1BA1"/>
    <w:rsid w:val="00CA2791"/>
    <w:rsid w:val="00CA3C11"/>
    <w:rsid w:val="00CA4EB1"/>
    <w:rsid w:val="00CA6032"/>
    <w:rsid w:val="00CA77D9"/>
    <w:rsid w:val="00CB045D"/>
    <w:rsid w:val="00CB050D"/>
    <w:rsid w:val="00CB0D57"/>
    <w:rsid w:val="00CB0FEC"/>
    <w:rsid w:val="00CB54F6"/>
    <w:rsid w:val="00CC0C93"/>
    <w:rsid w:val="00CC494A"/>
    <w:rsid w:val="00CC6AD9"/>
    <w:rsid w:val="00CC70F0"/>
    <w:rsid w:val="00CD0B64"/>
    <w:rsid w:val="00CD0E90"/>
    <w:rsid w:val="00CD342C"/>
    <w:rsid w:val="00CD41AC"/>
    <w:rsid w:val="00CD48AE"/>
    <w:rsid w:val="00CD5930"/>
    <w:rsid w:val="00CD5FC7"/>
    <w:rsid w:val="00CD60E1"/>
    <w:rsid w:val="00CD718E"/>
    <w:rsid w:val="00CE0904"/>
    <w:rsid w:val="00CE0995"/>
    <w:rsid w:val="00CE52E3"/>
    <w:rsid w:val="00CE6115"/>
    <w:rsid w:val="00CE7F34"/>
    <w:rsid w:val="00CF0090"/>
    <w:rsid w:val="00CF009D"/>
    <w:rsid w:val="00CF0CEE"/>
    <w:rsid w:val="00CF1C76"/>
    <w:rsid w:val="00CF22E6"/>
    <w:rsid w:val="00CF73FB"/>
    <w:rsid w:val="00D00063"/>
    <w:rsid w:val="00D0026F"/>
    <w:rsid w:val="00D00936"/>
    <w:rsid w:val="00D00D77"/>
    <w:rsid w:val="00D00FCA"/>
    <w:rsid w:val="00D0226F"/>
    <w:rsid w:val="00D048E8"/>
    <w:rsid w:val="00D04999"/>
    <w:rsid w:val="00D04FBE"/>
    <w:rsid w:val="00D07F8F"/>
    <w:rsid w:val="00D10020"/>
    <w:rsid w:val="00D128C7"/>
    <w:rsid w:val="00D12BB8"/>
    <w:rsid w:val="00D140A0"/>
    <w:rsid w:val="00D14880"/>
    <w:rsid w:val="00D15390"/>
    <w:rsid w:val="00D15F4E"/>
    <w:rsid w:val="00D17F53"/>
    <w:rsid w:val="00D20639"/>
    <w:rsid w:val="00D21B49"/>
    <w:rsid w:val="00D231A4"/>
    <w:rsid w:val="00D2519C"/>
    <w:rsid w:val="00D2527F"/>
    <w:rsid w:val="00D26291"/>
    <w:rsid w:val="00D26337"/>
    <w:rsid w:val="00D271F5"/>
    <w:rsid w:val="00D27211"/>
    <w:rsid w:val="00D3019C"/>
    <w:rsid w:val="00D3175D"/>
    <w:rsid w:val="00D32201"/>
    <w:rsid w:val="00D32307"/>
    <w:rsid w:val="00D3340B"/>
    <w:rsid w:val="00D3403D"/>
    <w:rsid w:val="00D340DD"/>
    <w:rsid w:val="00D341A6"/>
    <w:rsid w:val="00D35B9F"/>
    <w:rsid w:val="00D37F38"/>
    <w:rsid w:val="00D40073"/>
    <w:rsid w:val="00D40909"/>
    <w:rsid w:val="00D41FD8"/>
    <w:rsid w:val="00D579BA"/>
    <w:rsid w:val="00D600C5"/>
    <w:rsid w:val="00D61128"/>
    <w:rsid w:val="00D617CD"/>
    <w:rsid w:val="00D64C8F"/>
    <w:rsid w:val="00D65DFD"/>
    <w:rsid w:val="00D73337"/>
    <w:rsid w:val="00D73D15"/>
    <w:rsid w:val="00D748AC"/>
    <w:rsid w:val="00D75D4A"/>
    <w:rsid w:val="00D768B9"/>
    <w:rsid w:val="00D80007"/>
    <w:rsid w:val="00D80F85"/>
    <w:rsid w:val="00D81684"/>
    <w:rsid w:val="00D81DDF"/>
    <w:rsid w:val="00D91A53"/>
    <w:rsid w:val="00D9219F"/>
    <w:rsid w:val="00D93FC6"/>
    <w:rsid w:val="00D94144"/>
    <w:rsid w:val="00DA23FC"/>
    <w:rsid w:val="00DA3D56"/>
    <w:rsid w:val="00DA4642"/>
    <w:rsid w:val="00DA5117"/>
    <w:rsid w:val="00DA56B6"/>
    <w:rsid w:val="00DA6959"/>
    <w:rsid w:val="00DB11DB"/>
    <w:rsid w:val="00DB318E"/>
    <w:rsid w:val="00DB31F1"/>
    <w:rsid w:val="00DB54FD"/>
    <w:rsid w:val="00DB5B4D"/>
    <w:rsid w:val="00DB5F78"/>
    <w:rsid w:val="00DB6D0F"/>
    <w:rsid w:val="00DB7124"/>
    <w:rsid w:val="00DB7BE9"/>
    <w:rsid w:val="00DC199B"/>
    <w:rsid w:val="00DC2C84"/>
    <w:rsid w:val="00DC5DC9"/>
    <w:rsid w:val="00DC60F3"/>
    <w:rsid w:val="00DC72AF"/>
    <w:rsid w:val="00DD1AFF"/>
    <w:rsid w:val="00DD1DDB"/>
    <w:rsid w:val="00DD1E62"/>
    <w:rsid w:val="00DD2C1C"/>
    <w:rsid w:val="00DD36E0"/>
    <w:rsid w:val="00DD4246"/>
    <w:rsid w:val="00DD7138"/>
    <w:rsid w:val="00DD71F4"/>
    <w:rsid w:val="00DE1B21"/>
    <w:rsid w:val="00DE2F30"/>
    <w:rsid w:val="00DE342E"/>
    <w:rsid w:val="00DE4F83"/>
    <w:rsid w:val="00DE5213"/>
    <w:rsid w:val="00DE53FE"/>
    <w:rsid w:val="00DE6695"/>
    <w:rsid w:val="00DE7880"/>
    <w:rsid w:val="00DE79DC"/>
    <w:rsid w:val="00DE7B24"/>
    <w:rsid w:val="00DF1DF3"/>
    <w:rsid w:val="00DF2177"/>
    <w:rsid w:val="00DF22A9"/>
    <w:rsid w:val="00DF61FE"/>
    <w:rsid w:val="00DF666F"/>
    <w:rsid w:val="00DF71D8"/>
    <w:rsid w:val="00E0064E"/>
    <w:rsid w:val="00E00A08"/>
    <w:rsid w:val="00E011E6"/>
    <w:rsid w:val="00E013D7"/>
    <w:rsid w:val="00E021DA"/>
    <w:rsid w:val="00E025C2"/>
    <w:rsid w:val="00E02F6F"/>
    <w:rsid w:val="00E077BA"/>
    <w:rsid w:val="00E103F8"/>
    <w:rsid w:val="00E11301"/>
    <w:rsid w:val="00E119BC"/>
    <w:rsid w:val="00E121C6"/>
    <w:rsid w:val="00E1447E"/>
    <w:rsid w:val="00E14AC9"/>
    <w:rsid w:val="00E15157"/>
    <w:rsid w:val="00E15DE4"/>
    <w:rsid w:val="00E165EF"/>
    <w:rsid w:val="00E170D7"/>
    <w:rsid w:val="00E17998"/>
    <w:rsid w:val="00E202C9"/>
    <w:rsid w:val="00E20B0B"/>
    <w:rsid w:val="00E211CD"/>
    <w:rsid w:val="00E22039"/>
    <w:rsid w:val="00E2220C"/>
    <w:rsid w:val="00E24052"/>
    <w:rsid w:val="00E247B5"/>
    <w:rsid w:val="00E25C3A"/>
    <w:rsid w:val="00E27455"/>
    <w:rsid w:val="00E31321"/>
    <w:rsid w:val="00E31B1F"/>
    <w:rsid w:val="00E31F58"/>
    <w:rsid w:val="00E35BD9"/>
    <w:rsid w:val="00E414E0"/>
    <w:rsid w:val="00E44699"/>
    <w:rsid w:val="00E44FA6"/>
    <w:rsid w:val="00E45096"/>
    <w:rsid w:val="00E4519C"/>
    <w:rsid w:val="00E46818"/>
    <w:rsid w:val="00E4685B"/>
    <w:rsid w:val="00E47976"/>
    <w:rsid w:val="00E47993"/>
    <w:rsid w:val="00E50126"/>
    <w:rsid w:val="00E504BD"/>
    <w:rsid w:val="00E50E45"/>
    <w:rsid w:val="00E5181A"/>
    <w:rsid w:val="00E5199F"/>
    <w:rsid w:val="00E52E9B"/>
    <w:rsid w:val="00E55268"/>
    <w:rsid w:val="00E55F4F"/>
    <w:rsid w:val="00E567D6"/>
    <w:rsid w:val="00E56D92"/>
    <w:rsid w:val="00E572CC"/>
    <w:rsid w:val="00E61783"/>
    <w:rsid w:val="00E6244F"/>
    <w:rsid w:val="00E641ED"/>
    <w:rsid w:val="00E6789E"/>
    <w:rsid w:val="00E72667"/>
    <w:rsid w:val="00E747E8"/>
    <w:rsid w:val="00E75C79"/>
    <w:rsid w:val="00E771FB"/>
    <w:rsid w:val="00E77523"/>
    <w:rsid w:val="00E81047"/>
    <w:rsid w:val="00E81F73"/>
    <w:rsid w:val="00E8355E"/>
    <w:rsid w:val="00E84142"/>
    <w:rsid w:val="00E86A62"/>
    <w:rsid w:val="00E90C2A"/>
    <w:rsid w:val="00E9206F"/>
    <w:rsid w:val="00E93438"/>
    <w:rsid w:val="00E9366A"/>
    <w:rsid w:val="00E937F9"/>
    <w:rsid w:val="00E94335"/>
    <w:rsid w:val="00E96A82"/>
    <w:rsid w:val="00EA0678"/>
    <w:rsid w:val="00EA277D"/>
    <w:rsid w:val="00EA32B6"/>
    <w:rsid w:val="00EA35FF"/>
    <w:rsid w:val="00EA38A1"/>
    <w:rsid w:val="00EB2E7F"/>
    <w:rsid w:val="00EB4107"/>
    <w:rsid w:val="00EB689E"/>
    <w:rsid w:val="00EB7D7D"/>
    <w:rsid w:val="00EC0A61"/>
    <w:rsid w:val="00EC116D"/>
    <w:rsid w:val="00EC1812"/>
    <w:rsid w:val="00EC2C07"/>
    <w:rsid w:val="00EC5BD9"/>
    <w:rsid w:val="00EC77D2"/>
    <w:rsid w:val="00ED0106"/>
    <w:rsid w:val="00ED1813"/>
    <w:rsid w:val="00ED2A4E"/>
    <w:rsid w:val="00ED2C37"/>
    <w:rsid w:val="00ED38E5"/>
    <w:rsid w:val="00ED4524"/>
    <w:rsid w:val="00ED4B8F"/>
    <w:rsid w:val="00ED5A40"/>
    <w:rsid w:val="00ED64FF"/>
    <w:rsid w:val="00ED72FA"/>
    <w:rsid w:val="00ED7EAE"/>
    <w:rsid w:val="00EE0EA4"/>
    <w:rsid w:val="00EE28D7"/>
    <w:rsid w:val="00EE29CD"/>
    <w:rsid w:val="00EE512A"/>
    <w:rsid w:val="00EE72A3"/>
    <w:rsid w:val="00EE78A7"/>
    <w:rsid w:val="00EE7A67"/>
    <w:rsid w:val="00EF0886"/>
    <w:rsid w:val="00EF0CF9"/>
    <w:rsid w:val="00EF1B82"/>
    <w:rsid w:val="00EF22B1"/>
    <w:rsid w:val="00EF552E"/>
    <w:rsid w:val="00F0074E"/>
    <w:rsid w:val="00F04A65"/>
    <w:rsid w:val="00F05226"/>
    <w:rsid w:val="00F069EB"/>
    <w:rsid w:val="00F077F9"/>
    <w:rsid w:val="00F10685"/>
    <w:rsid w:val="00F11449"/>
    <w:rsid w:val="00F11C0F"/>
    <w:rsid w:val="00F126A4"/>
    <w:rsid w:val="00F13AC3"/>
    <w:rsid w:val="00F13F74"/>
    <w:rsid w:val="00F15431"/>
    <w:rsid w:val="00F16BD5"/>
    <w:rsid w:val="00F20AC4"/>
    <w:rsid w:val="00F240F7"/>
    <w:rsid w:val="00F246A0"/>
    <w:rsid w:val="00F24C6B"/>
    <w:rsid w:val="00F25BEB"/>
    <w:rsid w:val="00F2730F"/>
    <w:rsid w:val="00F27562"/>
    <w:rsid w:val="00F30533"/>
    <w:rsid w:val="00F3109E"/>
    <w:rsid w:val="00F31552"/>
    <w:rsid w:val="00F33F5B"/>
    <w:rsid w:val="00F40E81"/>
    <w:rsid w:val="00F41D4C"/>
    <w:rsid w:val="00F428CD"/>
    <w:rsid w:val="00F42EC8"/>
    <w:rsid w:val="00F443AE"/>
    <w:rsid w:val="00F44EAF"/>
    <w:rsid w:val="00F44F93"/>
    <w:rsid w:val="00F46219"/>
    <w:rsid w:val="00F464F3"/>
    <w:rsid w:val="00F50529"/>
    <w:rsid w:val="00F54670"/>
    <w:rsid w:val="00F5776E"/>
    <w:rsid w:val="00F579DF"/>
    <w:rsid w:val="00F6282B"/>
    <w:rsid w:val="00F6416F"/>
    <w:rsid w:val="00F6797C"/>
    <w:rsid w:val="00F703E5"/>
    <w:rsid w:val="00F707F9"/>
    <w:rsid w:val="00F70A20"/>
    <w:rsid w:val="00F70DBE"/>
    <w:rsid w:val="00F710F9"/>
    <w:rsid w:val="00F71806"/>
    <w:rsid w:val="00F719C7"/>
    <w:rsid w:val="00F71D69"/>
    <w:rsid w:val="00F73419"/>
    <w:rsid w:val="00F76FED"/>
    <w:rsid w:val="00F80DCD"/>
    <w:rsid w:val="00F82A42"/>
    <w:rsid w:val="00F84CE4"/>
    <w:rsid w:val="00F85B1E"/>
    <w:rsid w:val="00F9234F"/>
    <w:rsid w:val="00F924AC"/>
    <w:rsid w:val="00F92575"/>
    <w:rsid w:val="00F92A91"/>
    <w:rsid w:val="00F94517"/>
    <w:rsid w:val="00F952CA"/>
    <w:rsid w:val="00F9597F"/>
    <w:rsid w:val="00F97234"/>
    <w:rsid w:val="00FA0193"/>
    <w:rsid w:val="00FA0605"/>
    <w:rsid w:val="00FA100E"/>
    <w:rsid w:val="00FA2636"/>
    <w:rsid w:val="00FA36A8"/>
    <w:rsid w:val="00FA4009"/>
    <w:rsid w:val="00FA4499"/>
    <w:rsid w:val="00FA4DBE"/>
    <w:rsid w:val="00FA7A5E"/>
    <w:rsid w:val="00FB5830"/>
    <w:rsid w:val="00FB5B2C"/>
    <w:rsid w:val="00FB5EE6"/>
    <w:rsid w:val="00FB64B9"/>
    <w:rsid w:val="00FC0F95"/>
    <w:rsid w:val="00FC3712"/>
    <w:rsid w:val="00FC6A7E"/>
    <w:rsid w:val="00FC6A81"/>
    <w:rsid w:val="00FC6CBB"/>
    <w:rsid w:val="00FD274B"/>
    <w:rsid w:val="00FD5B8B"/>
    <w:rsid w:val="00FD63D0"/>
    <w:rsid w:val="00FD7491"/>
    <w:rsid w:val="00FE0A62"/>
    <w:rsid w:val="00FE4CE9"/>
    <w:rsid w:val="00FE500A"/>
    <w:rsid w:val="00FE539F"/>
    <w:rsid w:val="00FE5E8A"/>
    <w:rsid w:val="00FE735E"/>
    <w:rsid w:val="00FF5562"/>
    <w:rsid w:val="00FF5D88"/>
    <w:rsid w:val="00FF7F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300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7"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37"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1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iPriority="1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29" w:unhideWhenUsed="1"/>
    <w:lsdException w:name="Body Text 3" w:semiHidden="1" w:uiPriority="2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5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2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uiPriority w:val="11"/>
    <w:qFormat/>
    <w:rsid w:val="00724612"/>
    <w:pPr>
      <w:spacing w:after="200" w:line="288" w:lineRule="auto"/>
      <w:ind w:left="1418"/>
      <w:jc w:val="both"/>
    </w:pPr>
    <w:rPr>
      <w:rFonts w:eastAsia="Batang"/>
      <w:sz w:val="22"/>
      <w:szCs w:val="22"/>
      <w:lang w:eastAsia="en-GB"/>
    </w:rPr>
  </w:style>
  <w:style w:type="paragraph" w:styleId="Nadpis1">
    <w:name w:val="heading 1"/>
    <w:aliases w:val="1_Nadpis 1,Section,Section Heading,SECTION,Chapter,Hoofdstukkop,1_Nadpis 1;Section;Section Heading;SECTION;Chapter;Hoofdstukkop,BM Heading1,Section Header,H1-Heading 1,1,h1,Header 1,l1,Legal Line 1,head 1,Heading No. L1,list 1,II+,I,H1,(I.)"/>
    <w:basedOn w:val="Normln"/>
    <w:next w:val="Zkladntext"/>
    <w:link w:val="Nadpis1Char"/>
    <w:qFormat/>
    <w:rsid w:val="00E572CC"/>
    <w:pPr>
      <w:keepNext/>
      <w:numPr>
        <w:numId w:val="11"/>
      </w:numPr>
      <w:tabs>
        <w:tab w:val="left" w:pos="22"/>
      </w:tabs>
      <w:spacing w:before="100" w:after="100"/>
      <w:outlineLvl w:val="0"/>
    </w:pPr>
    <w:rPr>
      <w:b/>
      <w:caps/>
      <w:kern w:val="28"/>
      <w:sz w:val="20"/>
    </w:rPr>
  </w:style>
  <w:style w:type="paragraph" w:styleId="Nadpis2">
    <w:name w:val="heading 2"/>
    <w:aliases w:val="2_Nadpis 2,Major,Reset numbering,Centerhead,Nadpis 2 Char1,Nadpis 2 Char Char1,Nadpis 2 Char1 Char Char1,Nadpis 2 Char Char1 Char Char,Nadpis 2 Char2 Char Char Char Char1,Char,(A.),PA Major Section,2_Nadpis 2;Major;Reset numbering;Centerhead"/>
    <w:basedOn w:val="Normln"/>
    <w:next w:val="Zkladntext"/>
    <w:link w:val="Nadpis2Char"/>
    <w:qFormat/>
    <w:rsid w:val="00695AF3"/>
    <w:pPr>
      <w:numPr>
        <w:ilvl w:val="1"/>
        <w:numId w:val="11"/>
      </w:numPr>
      <w:outlineLvl w:val="1"/>
    </w:pPr>
    <w:rPr>
      <w:kern w:val="24"/>
    </w:rPr>
  </w:style>
  <w:style w:type="paragraph" w:styleId="Nadpis3">
    <w:name w:val="heading 3"/>
    <w:aliases w:val="3_Nadpis 3,(1.),Titul1,Nadpis 3 velká písmena,ABB.. Char,H3,Subparagraafkop,h3"/>
    <w:basedOn w:val="Normln"/>
    <w:next w:val="Zkladntext2"/>
    <w:link w:val="Nadpis3Char"/>
    <w:qFormat/>
    <w:rsid w:val="00724612"/>
    <w:pPr>
      <w:numPr>
        <w:ilvl w:val="2"/>
        <w:numId w:val="11"/>
      </w:numPr>
      <w:tabs>
        <w:tab w:val="left" w:pos="1418"/>
      </w:tabs>
      <w:outlineLvl w:val="2"/>
    </w:pPr>
  </w:style>
  <w:style w:type="paragraph" w:styleId="Nadpis4">
    <w:name w:val="heading 4"/>
    <w:aliases w:val="4_Nadpis 4,Sub-Minor,Level 2 - a,(a.),Titul2,ABB...,smlouva,4_Nadpis 4;Sub-Minor;Level 2 - a"/>
    <w:basedOn w:val="Normln"/>
    <w:next w:val="Zkladntext3"/>
    <w:link w:val="Nadpis4Char"/>
    <w:qFormat/>
    <w:rsid w:val="00724612"/>
    <w:pPr>
      <w:numPr>
        <w:ilvl w:val="3"/>
        <w:numId w:val="11"/>
      </w:numPr>
      <w:tabs>
        <w:tab w:val="left" w:pos="1928"/>
      </w:tabs>
      <w:outlineLvl w:val="3"/>
    </w:pPr>
  </w:style>
  <w:style w:type="paragraph" w:styleId="Nadpis5">
    <w:name w:val="heading 5"/>
    <w:aliases w:val="5_Nadpis 5"/>
    <w:basedOn w:val="Normln"/>
    <w:next w:val="BodyText4"/>
    <w:link w:val="Nadpis5Char"/>
    <w:qFormat/>
    <w:rsid w:val="00724612"/>
    <w:pPr>
      <w:numPr>
        <w:ilvl w:val="4"/>
        <w:numId w:val="11"/>
      </w:numPr>
      <w:tabs>
        <w:tab w:val="left" w:pos="2438"/>
      </w:tabs>
      <w:outlineLvl w:val="4"/>
    </w:pPr>
  </w:style>
  <w:style w:type="paragraph" w:styleId="Nadpis6">
    <w:name w:val="heading 6"/>
    <w:aliases w:val="6_Nadpis 6"/>
    <w:basedOn w:val="Normln"/>
    <w:next w:val="BodyText5"/>
    <w:link w:val="Nadpis6Char"/>
    <w:qFormat/>
    <w:rsid w:val="00695AF3"/>
    <w:pPr>
      <w:numPr>
        <w:numId w:val="13"/>
      </w:numPr>
      <w:tabs>
        <w:tab w:val="left" w:pos="104"/>
      </w:tabs>
      <w:ind w:left="1134" w:hanging="510"/>
      <w:outlineLvl w:val="5"/>
    </w:pPr>
  </w:style>
  <w:style w:type="paragraph" w:styleId="Nadpis7">
    <w:name w:val="heading 7"/>
    <w:basedOn w:val="Normln"/>
    <w:next w:val="Normln"/>
    <w:link w:val="Nadpis7Char"/>
    <w:qFormat/>
    <w:rsid w:val="00E572CC"/>
    <w:pPr>
      <w:numPr>
        <w:ilvl w:val="6"/>
        <w:numId w:val="11"/>
      </w:numPr>
      <w:outlineLvl w:val="6"/>
    </w:pPr>
  </w:style>
  <w:style w:type="paragraph" w:styleId="Nadpis8">
    <w:name w:val="heading 8"/>
    <w:basedOn w:val="Normln"/>
    <w:next w:val="Normln"/>
    <w:link w:val="Nadpis8Char"/>
    <w:qFormat/>
    <w:rsid w:val="00E572CC"/>
    <w:pPr>
      <w:numPr>
        <w:ilvl w:val="7"/>
        <w:numId w:val="11"/>
      </w:numPr>
      <w:outlineLvl w:val="7"/>
    </w:pPr>
  </w:style>
  <w:style w:type="paragraph" w:styleId="Nadpis9">
    <w:name w:val="heading 9"/>
    <w:aliases w:val="PŘÍLOHA_název"/>
    <w:basedOn w:val="Normln"/>
    <w:next w:val="Normln"/>
    <w:link w:val="Nadpis9Char"/>
    <w:qFormat/>
    <w:rsid w:val="00E937F9"/>
    <w:pPr>
      <w:numPr>
        <w:numId w:val="12"/>
      </w:numPr>
      <w:suppressAutoHyphens/>
      <w:spacing w:after="300"/>
      <w:jc w:val="center"/>
      <w:outlineLvl w:val="8"/>
    </w:pPr>
    <w:rPr>
      <w:b/>
      <w:caps/>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style>
  <w:style w:type="paragraph" w:styleId="Zkladntext2">
    <w:name w:val="Body Text 2"/>
    <w:basedOn w:val="Normln"/>
    <w:link w:val="Zkladntext2Char"/>
    <w:uiPriority w:val="29"/>
    <w:semiHidden/>
    <w:pPr>
      <w:ind w:left="1417"/>
    </w:pPr>
  </w:style>
  <w:style w:type="paragraph" w:styleId="Zkladntext3">
    <w:name w:val="Body Text 3"/>
    <w:basedOn w:val="Normln"/>
    <w:link w:val="Zkladntext3Char"/>
    <w:uiPriority w:val="29"/>
    <w:semiHidden/>
    <w:pPr>
      <w:ind w:left="1928"/>
    </w:pPr>
  </w:style>
  <w:style w:type="paragraph" w:customStyle="1" w:styleId="BodyText4">
    <w:name w:val="Body Text 4"/>
    <w:basedOn w:val="Normln"/>
    <w:uiPriority w:val="39"/>
    <w:pPr>
      <w:ind w:left="2438"/>
    </w:pPr>
  </w:style>
  <w:style w:type="paragraph" w:customStyle="1" w:styleId="BodyText5">
    <w:name w:val="Body Text 5"/>
    <w:basedOn w:val="Normln"/>
    <w:uiPriority w:val="39"/>
    <w:pPr>
      <w:ind w:left="2948"/>
    </w:pPr>
  </w:style>
  <w:style w:type="paragraph" w:customStyle="1" w:styleId="Address">
    <w:name w:val="Address"/>
    <w:basedOn w:val="Normln"/>
    <w:uiPriority w:val="39"/>
    <w:pPr>
      <w:spacing w:after="0"/>
      <w:jc w:val="left"/>
    </w:pPr>
  </w:style>
  <w:style w:type="paragraph" w:customStyle="1" w:styleId="Attention">
    <w:name w:val="Attention"/>
    <w:basedOn w:val="Normln"/>
    <w:next w:val="Normln"/>
    <w:uiPriority w:val="39"/>
    <w:pPr>
      <w:spacing w:before="200" w:after="0"/>
      <w:jc w:val="left"/>
    </w:pPr>
    <w:rPr>
      <w:b/>
    </w:rPr>
  </w:style>
  <w:style w:type="paragraph" w:customStyle="1" w:styleId="Disclaimer">
    <w:name w:val="Disclaimer"/>
    <w:basedOn w:val="Normln"/>
    <w:uiPriority w:val="39"/>
    <w:pPr>
      <w:spacing w:before="140" w:after="0"/>
    </w:pPr>
    <w:rPr>
      <w:rFonts w:ascii="Arial" w:hAnsi="Arial" w:cs="Arial"/>
      <w:sz w:val="10"/>
    </w:rPr>
  </w:style>
  <w:style w:type="paragraph" w:customStyle="1" w:styleId="DocHeading">
    <w:name w:val="DocHeading"/>
    <w:basedOn w:val="Normln"/>
    <w:uiPriority w:val="39"/>
    <w:pPr>
      <w:spacing w:after="600"/>
      <w:jc w:val="left"/>
    </w:pPr>
    <w:rPr>
      <w:spacing w:val="12"/>
      <w:sz w:val="13"/>
    </w:rPr>
  </w:style>
  <w:style w:type="paragraph" w:styleId="Zpat">
    <w:name w:val="footer"/>
    <w:basedOn w:val="Normln"/>
    <w:link w:val="ZpatChar"/>
    <w:semiHidden/>
    <w:pPr>
      <w:spacing w:after="0"/>
      <w:jc w:val="left"/>
    </w:pPr>
  </w:style>
  <w:style w:type="character" w:styleId="Znakapoznpodarou">
    <w:name w:val="footnote reference"/>
    <w:aliases w:val="PGI Fußnote Ziffer"/>
    <w:uiPriority w:val="37"/>
    <w:rPr>
      <w:rFonts w:ascii="Times New Roman" w:hAnsi="Times New Roman"/>
      <w:sz w:val="20"/>
      <w:vertAlign w:val="superscript"/>
    </w:rPr>
  </w:style>
  <w:style w:type="paragraph" w:styleId="Textpoznpodarou">
    <w:name w:val="footnote text"/>
    <w:aliases w:val="fn,Text pozn. pod čarou Char1,Text pozn. pod čarou Char Char,Text pozn. pod čarou Char1 Char Char,Text pozn. pod čarou Char Char Char Char,Char Char Char Char1 Char Char, Char Char Char Char Char1 Char Char,RL Text pozn. pod čarou"/>
    <w:basedOn w:val="Normln"/>
    <w:link w:val="TextpoznpodarouChar"/>
    <w:uiPriority w:val="37"/>
    <w:pPr>
      <w:spacing w:after="120"/>
      <w:ind w:left="340" w:hanging="340"/>
    </w:pPr>
    <w:rPr>
      <w:sz w:val="20"/>
    </w:rPr>
  </w:style>
  <w:style w:type="paragraph" w:styleId="Zhlav">
    <w:name w:val="header"/>
    <w:basedOn w:val="Normln"/>
    <w:link w:val="ZhlavChar"/>
    <w:semiHidden/>
    <w:pPr>
      <w:spacing w:after="0"/>
    </w:pPr>
  </w:style>
  <w:style w:type="paragraph" w:customStyle="1" w:styleId="HeaderAddress">
    <w:name w:val="HeaderAddress"/>
    <w:basedOn w:val="Normln"/>
    <w:next w:val="Normln"/>
    <w:uiPriority w:val="39"/>
    <w:pPr>
      <w:spacing w:after="120" w:line="360" w:lineRule="auto"/>
      <w:jc w:val="left"/>
    </w:pPr>
    <w:rPr>
      <w:rFonts w:ascii="Arial" w:hAnsi="Arial"/>
      <w:noProof/>
      <w:spacing w:val="12"/>
      <w:sz w:val="13"/>
    </w:rPr>
  </w:style>
  <w:style w:type="paragraph" w:customStyle="1" w:styleId="HeaderLLP">
    <w:name w:val="HeaderLLP"/>
    <w:basedOn w:val="Normln"/>
    <w:next w:val="HeaderAddress"/>
    <w:uiPriority w:val="39"/>
    <w:pPr>
      <w:spacing w:after="120"/>
      <w:jc w:val="left"/>
    </w:pPr>
    <w:rPr>
      <w:rFonts w:ascii="Arial Black" w:hAnsi="Arial Black"/>
      <w:noProof/>
      <w:spacing w:val="10"/>
      <w:sz w:val="13"/>
    </w:rPr>
  </w:style>
  <w:style w:type="paragraph" w:customStyle="1" w:styleId="HeaderPhone">
    <w:name w:val="HeaderPhone"/>
    <w:basedOn w:val="Normln"/>
    <w:uiPriority w:val="39"/>
    <w:pPr>
      <w:spacing w:after="0" w:line="360" w:lineRule="auto"/>
      <w:jc w:val="left"/>
    </w:pPr>
    <w:rPr>
      <w:rFonts w:ascii="Arial" w:hAnsi="Arial"/>
      <w:noProof/>
      <w:spacing w:val="18"/>
      <w:sz w:val="13"/>
    </w:rPr>
  </w:style>
  <w:style w:type="paragraph" w:customStyle="1" w:styleId="Heading">
    <w:name w:val="Heading"/>
    <w:basedOn w:val="Normln"/>
    <w:uiPriority w:val="39"/>
    <w:pPr>
      <w:spacing w:before="200"/>
    </w:pPr>
    <w:rPr>
      <w:b/>
    </w:rPr>
  </w:style>
  <w:style w:type="paragraph" w:customStyle="1" w:styleId="ListAlpha1">
    <w:name w:val="List Alpha 1"/>
    <w:basedOn w:val="Normln"/>
    <w:next w:val="Zkladntext"/>
    <w:uiPriority w:val="39"/>
    <w:pPr>
      <w:numPr>
        <w:numId w:val="5"/>
      </w:numPr>
      <w:tabs>
        <w:tab w:val="left" w:pos="22"/>
      </w:tabs>
    </w:pPr>
  </w:style>
  <w:style w:type="paragraph" w:customStyle="1" w:styleId="ListAlpha2">
    <w:name w:val="List Alpha 2"/>
    <w:basedOn w:val="Normln"/>
    <w:next w:val="Zkladntext2"/>
    <w:uiPriority w:val="39"/>
    <w:pPr>
      <w:numPr>
        <w:ilvl w:val="1"/>
        <w:numId w:val="5"/>
      </w:numPr>
      <w:tabs>
        <w:tab w:val="left" w:pos="50"/>
      </w:tabs>
    </w:pPr>
  </w:style>
  <w:style w:type="paragraph" w:customStyle="1" w:styleId="ListAlpha3">
    <w:name w:val="List Alpha 3"/>
    <w:basedOn w:val="Normln"/>
    <w:next w:val="Zkladntext3"/>
    <w:uiPriority w:val="39"/>
    <w:pPr>
      <w:numPr>
        <w:ilvl w:val="2"/>
        <w:numId w:val="5"/>
      </w:numPr>
      <w:tabs>
        <w:tab w:val="left" w:pos="68"/>
      </w:tabs>
    </w:pPr>
  </w:style>
  <w:style w:type="paragraph" w:customStyle="1" w:styleId="LISTALPHACAPS1">
    <w:name w:val="LIST ALPHA CAPS 1"/>
    <w:basedOn w:val="Normln"/>
    <w:next w:val="Zkladntext"/>
    <w:uiPriority w:val="39"/>
    <w:pPr>
      <w:numPr>
        <w:numId w:val="1"/>
      </w:numPr>
      <w:tabs>
        <w:tab w:val="left" w:pos="22"/>
      </w:tabs>
    </w:pPr>
  </w:style>
  <w:style w:type="paragraph" w:customStyle="1" w:styleId="LISTALPHACAPS2">
    <w:name w:val="LIST ALPHA CAPS 2"/>
    <w:basedOn w:val="Normln"/>
    <w:next w:val="Zkladntext2"/>
    <w:uiPriority w:val="39"/>
    <w:pPr>
      <w:numPr>
        <w:ilvl w:val="1"/>
        <w:numId w:val="1"/>
      </w:numPr>
      <w:tabs>
        <w:tab w:val="left" w:pos="50"/>
      </w:tabs>
    </w:pPr>
  </w:style>
  <w:style w:type="paragraph" w:customStyle="1" w:styleId="LISTALPHACAPS3">
    <w:name w:val="LIST ALPHA CAPS 3"/>
    <w:basedOn w:val="Normln"/>
    <w:next w:val="Zkladntext3"/>
    <w:uiPriority w:val="39"/>
    <w:pPr>
      <w:numPr>
        <w:ilvl w:val="2"/>
        <w:numId w:val="1"/>
      </w:numPr>
      <w:tabs>
        <w:tab w:val="left" w:pos="68"/>
      </w:tabs>
    </w:pPr>
  </w:style>
  <w:style w:type="paragraph" w:customStyle="1" w:styleId="ListArabic1">
    <w:name w:val="List Arabic 1"/>
    <w:basedOn w:val="Normln"/>
    <w:next w:val="Zkladntext"/>
    <w:uiPriority w:val="39"/>
    <w:pPr>
      <w:tabs>
        <w:tab w:val="left" w:pos="22"/>
        <w:tab w:val="num" w:pos="766"/>
      </w:tabs>
      <w:ind w:left="766" w:hanging="624"/>
    </w:pPr>
  </w:style>
  <w:style w:type="paragraph" w:customStyle="1" w:styleId="ListArabic2">
    <w:name w:val="List Arabic 2"/>
    <w:basedOn w:val="Normln"/>
    <w:next w:val="Zkladntext2"/>
    <w:uiPriority w:val="39"/>
    <w:pPr>
      <w:numPr>
        <w:ilvl w:val="1"/>
        <w:numId w:val="2"/>
      </w:numPr>
      <w:tabs>
        <w:tab w:val="left" w:pos="50"/>
      </w:tabs>
    </w:pPr>
  </w:style>
  <w:style w:type="paragraph" w:customStyle="1" w:styleId="ListArabic3">
    <w:name w:val="List Arabic 3"/>
    <w:basedOn w:val="Normln"/>
    <w:next w:val="Zkladntext3"/>
    <w:uiPriority w:val="39"/>
    <w:pPr>
      <w:numPr>
        <w:ilvl w:val="2"/>
        <w:numId w:val="2"/>
      </w:numPr>
      <w:tabs>
        <w:tab w:val="left" w:pos="68"/>
      </w:tabs>
    </w:pPr>
  </w:style>
  <w:style w:type="paragraph" w:customStyle="1" w:styleId="ListArabic4">
    <w:name w:val="List Arabic 4"/>
    <w:basedOn w:val="Normln"/>
    <w:next w:val="BodyText4"/>
    <w:uiPriority w:val="39"/>
    <w:pPr>
      <w:numPr>
        <w:ilvl w:val="3"/>
        <w:numId w:val="6"/>
      </w:numPr>
      <w:tabs>
        <w:tab w:val="left" w:pos="86"/>
      </w:tabs>
    </w:pPr>
  </w:style>
  <w:style w:type="paragraph" w:customStyle="1" w:styleId="ListLegal1">
    <w:name w:val="List Legal 1"/>
    <w:basedOn w:val="Normln"/>
    <w:next w:val="Zkladntext"/>
    <w:uiPriority w:val="39"/>
    <w:pPr>
      <w:numPr>
        <w:numId w:val="2"/>
      </w:numPr>
      <w:tabs>
        <w:tab w:val="left" w:pos="22"/>
      </w:tabs>
    </w:pPr>
  </w:style>
  <w:style w:type="paragraph" w:customStyle="1" w:styleId="ListLegal2">
    <w:name w:val="List Legal 2"/>
    <w:basedOn w:val="Normln"/>
    <w:next w:val="Zkladntext"/>
    <w:uiPriority w:val="39"/>
    <w:pPr>
      <w:numPr>
        <w:ilvl w:val="1"/>
        <w:numId w:val="6"/>
      </w:numPr>
      <w:tabs>
        <w:tab w:val="left" w:pos="22"/>
      </w:tabs>
    </w:pPr>
  </w:style>
  <w:style w:type="paragraph" w:customStyle="1" w:styleId="ListLegal3">
    <w:name w:val="List Legal 3"/>
    <w:basedOn w:val="Normln"/>
    <w:next w:val="Zkladntext2"/>
    <w:uiPriority w:val="39"/>
    <w:pPr>
      <w:numPr>
        <w:ilvl w:val="2"/>
        <w:numId w:val="6"/>
      </w:numPr>
      <w:tabs>
        <w:tab w:val="left" w:pos="50"/>
      </w:tabs>
    </w:pPr>
  </w:style>
  <w:style w:type="paragraph" w:customStyle="1" w:styleId="ListRoman1">
    <w:name w:val="List Roman 1"/>
    <w:basedOn w:val="Normln"/>
    <w:next w:val="Zkladntext"/>
    <w:uiPriority w:val="39"/>
    <w:pPr>
      <w:numPr>
        <w:numId w:val="3"/>
      </w:numPr>
      <w:tabs>
        <w:tab w:val="left" w:pos="22"/>
      </w:tabs>
    </w:pPr>
  </w:style>
  <w:style w:type="paragraph" w:customStyle="1" w:styleId="ListRoman2">
    <w:name w:val="List Roman 2"/>
    <w:basedOn w:val="Normln"/>
    <w:next w:val="Zkladntext2"/>
    <w:uiPriority w:val="39"/>
    <w:pPr>
      <w:numPr>
        <w:ilvl w:val="1"/>
        <w:numId w:val="3"/>
      </w:numPr>
      <w:tabs>
        <w:tab w:val="left" w:pos="50"/>
      </w:tabs>
    </w:pPr>
  </w:style>
  <w:style w:type="paragraph" w:customStyle="1" w:styleId="ListRoman3">
    <w:name w:val="List Roman 3"/>
    <w:basedOn w:val="Normln"/>
    <w:next w:val="Zkladntext3"/>
    <w:uiPriority w:val="39"/>
    <w:pPr>
      <w:numPr>
        <w:ilvl w:val="2"/>
        <w:numId w:val="3"/>
      </w:numPr>
      <w:tabs>
        <w:tab w:val="left" w:pos="68"/>
      </w:tabs>
    </w:pPr>
  </w:style>
  <w:style w:type="paragraph" w:customStyle="1" w:styleId="NotesAlpha">
    <w:name w:val="Notes Alpha"/>
    <w:basedOn w:val="Normln"/>
    <w:uiPriority w:val="69"/>
    <w:pPr>
      <w:ind w:left="680" w:hanging="680"/>
    </w:pPr>
  </w:style>
  <w:style w:type="paragraph" w:customStyle="1" w:styleId="NotesArabic">
    <w:name w:val="Notes Arabic"/>
    <w:basedOn w:val="Normln"/>
    <w:uiPriority w:val="69"/>
    <w:pPr>
      <w:ind w:left="680" w:hanging="680"/>
    </w:pPr>
  </w:style>
  <w:style w:type="paragraph" w:customStyle="1" w:styleId="NotesRoman">
    <w:name w:val="Notes Roman"/>
    <w:basedOn w:val="Normln"/>
    <w:uiPriority w:val="69"/>
    <w:pPr>
      <w:ind w:left="680" w:hanging="680"/>
    </w:pPr>
  </w:style>
  <w:style w:type="character" w:styleId="slostrnky">
    <w:name w:val="page number"/>
    <w:basedOn w:val="Standardnpsmoodstavce"/>
    <w:semiHidden/>
  </w:style>
  <w:style w:type="paragraph" w:customStyle="1" w:styleId="PartHeadings">
    <w:name w:val="Part Headings"/>
    <w:basedOn w:val="Normln"/>
    <w:next w:val="Normln"/>
    <w:uiPriority w:val="19"/>
    <w:pPr>
      <w:numPr>
        <w:numId w:val="4"/>
      </w:numPr>
      <w:tabs>
        <w:tab w:val="clear" w:pos="1440"/>
      </w:tabs>
      <w:suppressAutoHyphens/>
      <w:spacing w:after="300" w:line="312" w:lineRule="auto"/>
      <w:ind w:left="0" w:firstLine="0"/>
      <w:jc w:val="center"/>
      <w:outlineLvl w:val="2"/>
    </w:pPr>
    <w:rPr>
      <w:b/>
      <w:sz w:val="21"/>
    </w:rPr>
  </w:style>
  <w:style w:type="paragraph" w:customStyle="1" w:styleId="RightTab">
    <w:name w:val="Right Tab"/>
    <w:basedOn w:val="Normln"/>
    <w:next w:val="Normln"/>
    <w:uiPriority w:val="59"/>
    <w:pPr>
      <w:tabs>
        <w:tab w:val="right" w:pos="8505"/>
      </w:tabs>
    </w:pPr>
  </w:style>
  <w:style w:type="paragraph" w:styleId="Osloven">
    <w:name w:val="Salutation"/>
    <w:basedOn w:val="Normln"/>
    <w:next w:val="Normln"/>
    <w:link w:val="OslovenChar"/>
    <w:uiPriority w:val="19"/>
    <w:semiHidden/>
    <w:pPr>
      <w:spacing w:before="200"/>
    </w:pPr>
  </w:style>
  <w:style w:type="paragraph" w:styleId="Podpis">
    <w:name w:val="Signature"/>
    <w:basedOn w:val="Normln"/>
    <w:link w:val="PodpisChar"/>
    <w:uiPriority w:val="19"/>
    <w:semiHidden/>
    <w:pPr>
      <w:ind w:left="4252"/>
    </w:pPr>
  </w:style>
  <w:style w:type="paragraph" w:customStyle="1" w:styleId="TableInput">
    <w:name w:val="TableInput"/>
    <w:basedOn w:val="Normln"/>
    <w:uiPriority w:val="59"/>
    <w:pPr>
      <w:spacing w:after="0"/>
      <w:jc w:val="left"/>
    </w:pPr>
  </w:style>
  <w:style w:type="paragraph" w:customStyle="1" w:styleId="TableTitles">
    <w:name w:val="TableTitles"/>
    <w:basedOn w:val="Normln"/>
    <w:uiPriority w:val="59"/>
    <w:pPr>
      <w:spacing w:after="30"/>
    </w:pPr>
    <w:rPr>
      <w:rFonts w:ascii="Arial" w:hAnsi="Arial" w:cs="Arial"/>
      <w:caps/>
      <w:spacing w:val="12"/>
      <w:sz w:val="11"/>
    </w:rPr>
  </w:style>
  <w:style w:type="paragraph" w:styleId="Obsah1">
    <w:name w:val="toc 1"/>
    <w:basedOn w:val="Normln"/>
    <w:next w:val="Normln"/>
    <w:uiPriority w:val="39"/>
    <w:rsid w:val="00204C26"/>
    <w:pPr>
      <w:keepLines/>
      <w:tabs>
        <w:tab w:val="left" w:pos="442"/>
        <w:tab w:val="right" w:leader="dot" w:pos="8494"/>
      </w:tabs>
      <w:spacing w:after="100"/>
      <w:ind w:left="442" w:hanging="442"/>
    </w:pPr>
    <w:rPr>
      <w:caps/>
      <w:sz w:val="20"/>
    </w:rPr>
  </w:style>
  <w:style w:type="paragraph" w:customStyle="1" w:styleId="Info">
    <w:name w:val="Info"/>
    <w:basedOn w:val="Normln"/>
    <w:uiPriority w:val="39"/>
    <w:pPr>
      <w:jc w:val="left"/>
    </w:pPr>
    <w:rPr>
      <w:b/>
      <w:caps/>
    </w:rPr>
  </w:style>
  <w:style w:type="paragraph" w:customStyle="1" w:styleId="Nzev1">
    <w:name w:val="Název1"/>
    <w:basedOn w:val="Normln"/>
    <w:uiPriority w:val="99"/>
    <w:pPr>
      <w:jc w:val="center"/>
    </w:pPr>
    <w:rPr>
      <w:rFonts w:ascii="CG Times" w:hAnsi="CG Times"/>
      <w:b/>
      <w:caps/>
      <w:sz w:val="28"/>
      <w:szCs w:val="20"/>
      <w:lang w:eastAsia="en-US"/>
    </w:rPr>
  </w:style>
  <w:style w:type="character" w:styleId="Hypertextovodkaz">
    <w:name w:val="Hyperlink"/>
    <w:uiPriority w:val="99"/>
    <w:rPr>
      <w:color w:val="0000FF"/>
      <w:u w:val="single"/>
    </w:rPr>
  </w:style>
  <w:style w:type="character" w:styleId="Sledovanodkaz">
    <w:name w:val="FollowedHyperlink"/>
    <w:uiPriority w:val="59"/>
    <w:semiHidden/>
    <w:rPr>
      <w:color w:val="800080"/>
      <w:u w:val="single"/>
    </w:rPr>
  </w:style>
  <w:style w:type="character" w:customStyle="1" w:styleId="tw4winMark">
    <w:name w:val="tw4winMark"/>
    <w:uiPriority w:val="99"/>
    <w:rPr>
      <w:rFonts w:ascii="Courier New" w:hAnsi="Courier New"/>
      <w:vanish/>
      <w:color w:val="800080"/>
      <w:sz w:val="24"/>
      <w:vertAlign w:val="subscript"/>
    </w:rPr>
  </w:style>
  <w:style w:type="paragraph" w:styleId="Obsah2">
    <w:name w:val="toc 2"/>
    <w:basedOn w:val="Normln"/>
    <w:next w:val="Normln"/>
    <w:autoRedefine/>
    <w:uiPriority w:val="39"/>
    <w:pPr>
      <w:ind w:left="220"/>
    </w:pPr>
  </w:style>
  <w:style w:type="paragraph" w:styleId="Obsah3">
    <w:name w:val="toc 3"/>
    <w:basedOn w:val="Normln"/>
    <w:next w:val="Normln"/>
    <w:autoRedefine/>
    <w:uiPriority w:val="39"/>
    <w:pPr>
      <w:ind w:left="440"/>
    </w:pPr>
  </w:style>
  <w:style w:type="paragraph" w:styleId="Obsah4">
    <w:name w:val="toc 4"/>
    <w:basedOn w:val="Normln"/>
    <w:next w:val="Normln"/>
    <w:autoRedefine/>
    <w:uiPriority w:val="39"/>
    <w:pPr>
      <w:ind w:left="660"/>
    </w:pPr>
  </w:style>
  <w:style w:type="paragraph" w:styleId="Obsah5">
    <w:name w:val="toc 5"/>
    <w:basedOn w:val="Normln"/>
    <w:next w:val="Normln"/>
    <w:autoRedefine/>
    <w:uiPriority w:val="39"/>
    <w:pPr>
      <w:ind w:left="880"/>
    </w:pPr>
  </w:style>
  <w:style w:type="paragraph" w:styleId="Obsah6">
    <w:name w:val="toc 6"/>
    <w:basedOn w:val="Normln"/>
    <w:next w:val="Normln"/>
    <w:autoRedefine/>
    <w:uiPriority w:val="39"/>
    <w:pPr>
      <w:ind w:left="1100"/>
    </w:pPr>
  </w:style>
  <w:style w:type="paragraph" w:styleId="Obsah7">
    <w:name w:val="toc 7"/>
    <w:basedOn w:val="Normln"/>
    <w:next w:val="Normln"/>
    <w:autoRedefine/>
    <w:uiPriority w:val="39"/>
    <w:pPr>
      <w:ind w:left="1320"/>
    </w:pPr>
  </w:style>
  <w:style w:type="paragraph" w:styleId="Obsah8">
    <w:name w:val="toc 8"/>
    <w:basedOn w:val="Normln"/>
    <w:next w:val="Normln"/>
    <w:autoRedefine/>
    <w:uiPriority w:val="39"/>
    <w:pPr>
      <w:ind w:left="1540"/>
    </w:pPr>
  </w:style>
  <w:style w:type="paragraph" w:styleId="Obsah9">
    <w:name w:val="toc 9"/>
    <w:basedOn w:val="Normln"/>
    <w:next w:val="Normln"/>
    <w:autoRedefine/>
    <w:uiPriority w:val="39"/>
    <w:pPr>
      <w:ind w:left="1760"/>
    </w:pPr>
  </w:style>
  <w:style w:type="paragraph" w:customStyle="1" w:styleId="ProstText">
    <w:name w:val="ProstýText"/>
    <w:basedOn w:val="Nadpis1"/>
    <w:uiPriority w:val="15"/>
    <w:qFormat/>
    <w:rsid w:val="00F42EC8"/>
    <w:pPr>
      <w:numPr>
        <w:numId w:val="0"/>
      </w:numPr>
      <w:tabs>
        <w:tab w:val="clear" w:pos="22"/>
      </w:tabs>
      <w:spacing w:before="0" w:after="200"/>
    </w:pPr>
    <w:rPr>
      <w:rFonts w:eastAsia="Times New Roman"/>
      <w:b w:val="0"/>
      <w:bCs/>
      <w:caps w:val="0"/>
      <w:kern w:val="32"/>
      <w:sz w:val="22"/>
      <w:szCs w:val="20"/>
      <w:lang w:eastAsia="en-US"/>
    </w:rPr>
  </w:style>
  <w:style w:type="paragraph" w:customStyle="1" w:styleId="Odrka">
    <w:name w:val="Odrážka"/>
    <w:basedOn w:val="Zkladntext"/>
    <w:link w:val="OdrkaChar"/>
    <w:uiPriority w:val="19"/>
    <w:rsid w:val="00B948F8"/>
    <w:pPr>
      <w:ind w:left="0"/>
    </w:pPr>
  </w:style>
  <w:style w:type="paragraph" w:customStyle="1" w:styleId="Odrka2">
    <w:name w:val="Odrážka_2"/>
    <w:basedOn w:val="Normln"/>
    <w:uiPriority w:val="19"/>
    <w:rsid w:val="00B948F8"/>
    <w:pPr>
      <w:numPr>
        <w:numId w:val="7"/>
      </w:numPr>
    </w:pPr>
  </w:style>
  <w:style w:type="character" w:customStyle="1" w:styleId="ZkladntextChar">
    <w:name w:val="Základní text Char"/>
    <w:link w:val="Zkladntext"/>
    <w:rsid w:val="000B1A2A"/>
    <w:rPr>
      <w:rFonts w:eastAsia="Batang"/>
      <w:sz w:val="22"/>
      <w:szCs w:val="22"/>
      <w:lang w:eastAsia="en-GB"/>
    </w:rPr>
  </w:style>
  <w:style w:type="character" w:customStyle="1" w:styleId="OdrkaChar">
    <w:name w:val="Odrážka Char"/>
    <w:basedOn w:val="ZkladntextChar"/>
    <w:link w:val="Odrka"/>
    <w:uiPriority w:val="19"/>
    <w:rsid w:val="000B1A2A"/>
    <w:rPr>
      <w:rFonts w:eastAsia="Batang"/>
      <w:sz w:val="22"/>
      <w:szCs w:val="22"/>
      <w:lang w:eastAsia="en-GB"/>
    </w:rPr>
  </w:style>
  <w:style w:type="paragraph" w:customStyle="1" w:styleId="Parties">
    <w:name w:val="Parties"/>
    <w:basedOn w:val="Normln"/>
    <w:uiPriority w:val="19"/>
    <w:rsid w:val="00F94517"/>
    <w:pPr>
      <w:spacing w:after="240" w:line="240" w:lineRule="auto"/>
      <w:jc w:val="center"/>
    </w:pPr>
    <w:rPr>
      <w:rFonts w:eastAsia="SimSun"/>
      <w:caps/>
      <w:sz w:val="24"/>
      <w:szCs w:val="24"/>
      <w:lang w:eastAsia="zh-CN" w:bidi="ar-AE"/>
    </w:rPr>
  </w:style>
  <w:style w:type="paragraph" w:customStyle="1" w:styleId="DraftDate">
    <w:name w:val="Draft Date"/>
    <w:basedOn w:val="Normln"/>
    <w:uiPriority w:val="99"/>
    <w:rsid w:val="00F94517"/>
    <w:pPr>
      <w:spacing w:after="0" w:line="240" w:lineRule="auto"/>
      <w:jc w:val="right"/>
    </w:pPr>
    <w:rPr>
      <w:rFonts w:eastAsia="SimSun"/>
      <w:sz w:val="18"/>
      <w:szCs w:val="18"/>
      <w:lang w:eastAsia="zh-CN" w:bidi="ar-AE"/>
    </w:rPr>
  </w:style>
  <w:style w:type="paragraph" w:customStyle="1" w:styleId="NormalRight">
    <w:name w:val="NormalRight"/>
    <w:basedOn w:val="Normln"/>
    <w:uiPriority w:val="99"/>
    <w:qFormat/>
    <w:rsid w:val="00F94517"/>
    <w:pPr>
      <w:spacing w:after="0" w:line="240" w:lineRule="auto"/>
      <w:jc w:val="right"/>
    </w:pPr>
    <w:rPr>
      <w:rFonts w:eastAsia="SimSun"/>
      <w:sz w:val="24"/>
      <w:szCs w:val="24"/>
      <w:lang w:eastAsia="zh-CN" w:bidi="ar-AE"/>
    </w:rPr>
  </w:style>
  <w:style w:type="paragraph" w:styleId="Podnadpis">
    <w:name w:val="Subtitle"/>
    <w:basedOn w:val="Normln"/>
    <w:next w:val="Zkladntext"/>
    <w:link w:val="PodnadpisChar"/>
    <w:uiPriority w:val="19"/>
    <w:qFormat/>
    <w:rsid w:val="00F44F93"/>
    <w:pPr>
      <w:numPr>
        <w:ilvl w:val="1"/>
      </w:numPr>
      <w:spacing w:after="240" w:line="240" w:lineRule="auto"/>
      <w:ind w:left="624"/>
      <w:jc w:val="center"/>
    </w:pPr>
    <w:rPr>
      <w:rFonts w:eastAsia="SimSun"/>
      <w:sz w:val="24"/>
      <w:szCs w:val="24"/>
      <w:lang w:eastAsia="zh-CN" w:bidi="ar-AE"/>
    </w:rPr>
  </w:style>
  <w:style w:type="character" w:customStyle="1" w:styleId="PodnadpisChar">
    <w:name w:val="Podnadpis Char"/>
    <w:link w:val="Podnadpis"/>
    <w:uiPriority w:val="19"/>
    <w:rsid w:val="000B1A2A"/>
    <w:rPr>
      <w:rFonts w:eastAsia="SimSun"/>
      <w:sz w:val="24"/>
      <w:szCs w:val="24"/>
      <w:lang w:eastAsia="zh-CN" w:bidi="ar-AE"/>
    </w:rPr>
  </w:style>
  <w:style w:type="paragraph" w:customStyle="1" w:styleId="NormalBold">
    <w:name w:val="NormalBold"/>
    <w:basedOn w:val="Normln"/>
    <w:uiPriority w:val="59"/>
    <w:rsid w:val="00841FDD"/>
    <w:pPr>
      <w:spacing w:after="0" w:line="240" w:lineRule="auto"/>
      <w:jc w:val="left"/>
    </w:pPr>
    <w:rPr>
      <w:rFonts w:eastAsia="Times New Roman"/>
      <w:b/>
      <w:szCs w:val="24"/>
      <w:lang w:eastAsia="en-US"/>
    </w:rPr>
  </w:style>
  <w:style w:type="paragraph" w:customStyle="1" w:styleId="NormalSingleLine">
    <w:name w:val="Normal Single Line"/>
    <w:basedOn w:val="Normln"/>
    <w:uiPriority w:val="59"/>
    <w:rsid w:val="00841FDD"/>
    <w:pPr>
      <w:spacing w:after="0" w:line="240" w:lineRule="auto"/>
      <w:jc w:val="left"/>
    </w:pPr>
    <w:rPr>
      <w:rFonts w:eastAsia="Times New Roman"/>
      <w:szCs w:val="24"/>
      <w:lang w:eastAsia="en-US"/>
    </w:rPr>
  </w:style>
  <w:style w:type="character" w:customStyle="1" w:styleId="A0">
    <w:name w:val="A0"/>
    <w:uiPriority w:val="99"/>
    <w:rsid w:val="00841FDD"/>
    <w:rPr>
      <w:rFonts w:ascii="AvantGarde" w:hAnsi="AvantGarde" w:cs="AvantGarde" w:hint="default"/>
      <w:color w:val="000000"/>
      <w:sz w:val="28"/>
      <w:szCs w:val="28"/>
    </w:rPr>
  </w:style>
  <w:style w:type="character" w:customStyle="1" w:styleId="platne1">
    <w:name w:val="platne1"/>
    <w:rsid w:val="00D20639"/>
  </w:style>
  <w:style w:type="paragraph" w:styleId="Textbubliny">
    <w:name w:val="Balloon Text"/>
    <w:basedOn w:val="Normln"/>
    <w:link w:val="TextbublinyChar"/>
    <w:uiPriority w:val="99"/>
    <w:semiHidden/>
    <w:unhideWhenUsed/>
    <w:rsid w:val="00D20639"/>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D20639"/>
    <w:rPr>
      <w:rFonts w:ascii="Tahoma" w:eastAsia="Batang" w:hAnsi="Tahoma" w:cs="Tahoma"/>
      <w:sz w:val="16"/>
      <w:szCs w:val="16"/>
      <w:lang w:val="en-GB" w:eastAsia="en-GB"/>
    </w:rPr>
  </w:style>
  <w:style w:type="character" w:customStyle="1" w:styleId="h1a1">
    <w:name w:val="h1a1"/>
    <w:uiPriority w:val="39"/>
    <w:rsid w:val="00A2096D"/>
    <w:rPr>
      <w:vanish w:val="0"/>
      <w:webHidden w:val="0"/>
      <w:sz w:val="24"/>
      <w:szCs w:val="24"/>
      <w:specVanish w:val="0"/>
    </w:rPr>
  </w:style>
  <w:style w:type="character" w:customStyle="1" w:styleId="Nadpis1Char">
    <w:name w:val="Nadpis 1 Char"/>
    <w:aliases w:val="1_Nadpis 1 Char,Section Char,Section Heading Char,SECTION Char,Chapter Char,Hoofdstukkop Char,1_Nadpis 1;Section;Section Heading;SECTION;Chapter;Hoofdstukkop Char,BM Heading1 Char,Section Header Char,H1-Heading 1 Char,1 Char,h1 Char,I Char"/>
    <w:link w:val="Nadpis1"/>
    <w:rsid w:val="00E572CC"/>
    <w:rPr>
      <w:rFonts w:eastAsia="Batang"/>
      <w:b/>
      <w:caps/>
      <w:kern w:val="28"/>
      <w:szCs w:val="22"/>
      <w:lang w:eastAsia="en-GB"/>
    </w:rPr>
  </w:style>
  <w:style w:type="character" w:customStyle="1" w:styleId="Nadpis3Char">
    <w:name w:val="Nadpis 3 Char"/>
    <w:aliases w:val="3_Nadpis 3 Char,(1.) Char,Titul1 Char,Nadpis 3 velká písmena Char,ABB.. Char Char,H3 Char,Subparagraafkop Char,h3 Char"/>
    <w:link w:val="Nadpis3"/>
    <w:rsid w:val="00724612"/>
    <w:rPr>
      <w:rFonts w:eastAsia="Batang"/>
      <w:sz w:val="22"/>
      <w:szCs w:val="22"/>
      <w:lang w:eastAsia="en-GB"/>
    </w:rPr>
  </w:style>
  <w:style w:type="paragraph" w:customStyle="1" w:styleId="Normln-vlevo">
    <w:name w:val="Normální - vlevo"/>
    <w:basedOn w:val="Normln"/>
    <w:qFormat/>
    <w:rsid w:val="00BC1432"/>
    <w:pPr>
      <w:ind w:left="624"/>
    </w:pPr>
    <w:rPr>
      <w:lang w:val="en-GB"/>
    </w:rPr>
  </w:style>
  <w:style w:type="character" w:customStyle="1" w:styleId="Nadpis4Char">
    <w:name w:val="Nadpis 4 Char"/>
    <w:aliases w:val="4_Nadpis 4 Char,Sub-Minor Char,Level 2 - a Char,(a.) Char,Titul2 Char,ABB... Char,smlouva Char,4_Nadpis 4;Sub-Minor;Level 2 - a Char"/>
    <w:link w:val="Nadpis4"/>
    <w:rsid w:val="00724612"/>
    <w:rPr>
      <w:rFonts w:eastAsia="Batang"/>
      <w:sz w:val="22"/>
      <w:szCs w:val="22"/>
      <w:lang w:eastAsia="en-GB"/>
    </w:rPr>
  </w:style>
  <w:style w:type="character" w:customStyle="1" w:styleId="Nadpis5Char">
    <w:name w:val="Nadpis 5 Char"/>
    <w:aliases w:val="5_Nadpis 5 Char"/>
    <w:link w:val="Nadpis5"/>
    <w:rsid w:val="00724612"/>
    <w:rPr>
      <w:rFonts w:eastAsia="Batang"/>
      <w:sz w:val="22"/>
      <w:szCs w:val="22"/>
      <w:lang w:eastAsia="en-GB"/>
    </w:rPr>
  </w:style>
  <w:style w:type="paragraph" w:customStyle="1" w:styleId="Default">
    <w:name w:val="Default"/>
    <w:uiPriority w:val="39"/>
    <w:rsid w:val="00964C9D"/>
    <w:pPr>
      <w:autoSpaceDE w:val="0"/>
      <w:autoSpaceDN w:val="0"/>
      <w:adjustRightInd w:val="0"/>
    </w:pPr>
    <w:rPr>
      <w:color w:val="000000"/>
      <w:sz w:val="24"/>
      <w:szCs w:val="24"/>
    </w:rPr>
  </w:style>
  <w:style w:type="character" w:customStyle="1" w:styleId="Nadpis2Char">
    <w:name w:val="Nadpis 2 Char"/>
    <w:aliases w:val="2_Nadpis 2 Char,Major Char,Reset numbering Char,Centerhead Char,Nadpis 2 Char1 Char,Nadpis 2 Char Char1 Char,Nadpis 2 Char1 Char Char1 Char,Nadpis 2 Char Char1 Char Char Char,Nadpis 2 Char2 Char Char Char Char1 Char,Char Char,(A.) Char"/>
    <w:link w:val="Nadpis2"/>
    <w:rsid w:val="00695AF3"/>
    <w:rPr>
      <w:rFonts w:eastAsia="Batang"/>
      <w:kern w:val="24"/>
      <w:sz w:val="22"/>
      <w:szCs w:val="22"/>
      <w:lang w:eastAsia="en-GB"/>
    </w:rPr>
  </w:style>
  <w:style w:type="character" w:customStyle="1" w:styleId="TextpoznpodarouChar">
    <w:name w:val="Text pozn. pod čarou Char"/>
    <w:aliases w:val="fn Char,Text pozn. pod čarou Char1 Char,Text pozn. pod čarou Char Char Char,Text pozn. pod čarou Char1 Char Char Char,Text pozn. pod čarou Char Char Char Char Char,Char Char Char Char1 Char Char Char"/>
    <w:link w:val="Textpoznpodarou"/>
    <w:uiPriority w:val="37"/>
    <w:rsid w:val="000B1A2A"/>
    <w:rPr>
      <w:rFonts w:eastAsia="Batang"/>
      <w:szCs w:val="22"/>
      <w:lang w:eastAsia="en-GB"/>
    </w:rPr>
  </w:style>
  <w:style w:type="paragraph" w:customStyle="1" w:styleId="Para1">
    <w:name w:val="Para1"/>
    <w:basedOn w:val="Normln"/>
    <w:uiPriority w:val="19"/>
    <w:rsid w:val="00AA180D"/>
    <w:pPr>
      <w:numPr>
        <w:numId w:val="8"/>
      </w:numPr>
      <w:spacing w:before="120" w:after="0" w:line="240" w:lineRule="auto"/>
    </w:pPr>
    <w:rPr>
      <w:rFonts w:ascii="Verdana" w:eastAsia="Times New Roman" w:hAnsi="Verdana"/>
      <w:sz w:val="20"/>
      <w:szCs w:val="20"/>
      <w:lang w:val="en-GB" w:eastAsia="en-US"/>
    </w:rPr>
  </w:style>
  <w:style w:type="paragraph" w:customStyle="1" w:styleId="para2">
    <w:name w:val="para2"/>
    <w:basedOn w:val="Normln"/>
    <w:uiPriority w:val="19"/>
    <w:rsid w:val="00AA180D"/>
    <w:pPr>
      <w:numPr>
        <w:ilvl w:val="1"/>
        <w:numId w:val="9"/>
      </w:numPr>
      <w:spacing w:after="0" w:line="240" w:lineRule="auto"/>
    </w:pPr>
    <w:rPr>
      <w:rFonts w:ascii="Verdana" w:eastAsia="Times New Roman" w:hAnsi="Verdana"/>
      <w:sz w:val="20"/>
      <w:szCs w:val="20"/>
      <w:lang w:val="en-GB" w:eastAsia="en-US"/>
    </w:rPr>
  </w:style>
  <w:style w:type="paragraph" w:customStyle="1" w:styleId="para4">
    <w:name w:val="para4"/>
    <w:basedOn w:val="para2"/>
    <w:uiPriority w:val="19"/>
    <w:rsid w:val="00AA180D"/>
    <w:pPr>
      <w:numPr>
        <w:ilvl w:val="3"/>
        <w:numId w:val="8"/>
      </w:numPr>
    </w:pPr>
  </w:style>
  <w:style w:type="paragraph" w:customStyle="1" w:styleId="para5">
    <w:name w:val="para5"/>
    <w:basedOn w:val="para2"/>
    <w:uiPriority w:val="19"/>
    <w:rsid w:val="00AA180D"/>
    <w:pPr>
      <w:numPr>
        <w:ilvl w:val="4"/>
        <w:numId w:val="8"/>
      </w:numPr>
    </w:pPr>
  </w:style>
  <w:style w:type="table" w:styleId="Mkatabulky">
    <w:name w:val="Table Grid"/>
    <w:basedOn w:val="Normlntabulka"/>
    <w:rsid w:val="0038107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oha1">
    <w:name w:val="Příloha_1"/>
    <w:basedOn w:val="Normln"/>
    <w:link w:val="Ploha1Char"/>
    <w:uiPriority w:val="6"/>
    <w:qFormat/>
    <w:rsid w:val="00EF0886"/>
    <w:pPr>
      <w:numPr>
        <w:ilvl w:val="1"/>
        <w:numId w:val="12"/>
      </w:numPr>
      <w:tabs>
        <w:tab w:val="left" w:pos="624"/>
      </w:tabs>
      <w:spacing w:before="100" w:after="100"/>
    </w:pPr>
    <w:rPr>
      <w:b/>
      <w:caps/>
      <w:sz w:val="20"/>
    </w:rPr>
  </w:style>
  <w:style w:type="paragraph" w:customStyle="1" w:styleId="Ploha2">
    <w:name w:val="Příloha_2"/>
    <w:basedOn w:val="Ploha1"/>
    <w:link w:val="Ploha2Char"/>
    <w:uiPriority w:val="7"/>
    <w:qFormat/>
    <w:rsid w:val="008F1F81"/>
    <w:pPr>
      <w:numPr>
        <w:ilvl w:val="2"/>
      </w:numPr>
      <w:spacing w:before="0" w:after="200"/>
    </w:pPr>
    <w:rPr>
      <w:b w:val="0"/>
      <w:caps w:val="0"/>
      <w:sz w:val="22"/>
    </w:rPr>
  </w:style>
  <w:style w:type="character" w:customStyle="1" w:styleId="Ploha1Char">
    <w:name w:val="Příloha_1 Char"/>
    <w:link w:val="Ploha1"/>
    <w:uiPriority w:val="6"/>
    <w:rsid w:val="00EF0886"/>
    <w:rPr>
      <w:rFonts w:eastAsia="Batang"/>
      <w:b/>
      <w:caps/>
      <w:szCs w:val="22"/>
      <w:lang w:eastAsia="en-GB"/>
    </w:rPr>
  </w:style>
  <w:style w:type="paragraph" w:customStyle="1" w:styleId="Ploha3">
    <w:name w:val="Příloha_3"/>
    <w:basedOn w:val="Ploha2"/>
    <w:link w:val="Ploha3Char"/>
    <w:uiPriority w:val="8"/>
    <w:qFormat/>
    <w:rsid w:val="00EE0EA4"/>
    <w:pPr>
      <w:numPr>
        <w:ilvl w:val="3"/>
      </w:numPr>
      <w:tabs>
        <w:tab w:val="clear" w:pos="624"/>
        <w:tab w:val="clear" w:pos="1247"/>
        <w:tab w:val="left" w:pos="1418"/>
      </w:tabs>
      <w:ind w:left="1418" w:hanging="794"/>
    </w:pPr>
  </w:style>
  <w:style w:type="character" w:customStyle="1" w:styleId="Ploha2Char">
    <w:name w:val="Příloha_2 Char"/>
    <w:link w:val="Ploha2"/>
    <w:uiPriority w:val="7"/>
    <w:rsid w:val="008F1F81"/>
    <w:rPr>
      <w:rFonts w:eastAsia="Batang"/>
      <w:sz w:val="22"/>
      <w:szCs w:val="22"/>
      <w:lang w:eastAsia="en-GB"/>
    </w:rPr>
  </w:style>
  <w:style w:type="paragraph" w:customStyle="1" w:styleId="Ploha4">
    <w:name w:val="Příloha_4"/>
    <w:basedOn w:val="Ploha2"/>
    <w:link w:val="Ploha4Char"/>
    <w:uiPriority w:val="9"/>
    <w:qFormat/>
    <w:rsid w:val="00EE0EA4"/>
    <w:pPr>
      <w:numPr>
        <w:ilvl w:val="4"/>
      </w:numPr>
      <w:tabs>
        <w:tab w:val="clear" w:pos="624"/>
        <w:tab w:val="left" w:pos="1928"/>
      </w:tabs>
      <w:ind w:left="1928" w:hanging="510"/>
    </w:pPr>
  </w:style>
  <w:style w:type="character" w:customStyle="1" w:styleId="Ploha3Char">
    <w:name w:val="Příloha_3 Char"/>
    <w:basedOn w:val="Ploha2Char"/>
    <w:link w:val="Ploha3"/>
    <w:uiPriority w:val="8"/>
    <w:rsid w:val="00EE0EA4"/>
    <w:rPr>
      <w:rFonts w:eastAsia="Batang"/>
      <w:sz w:val="22"/>
      <w:szCs w:val="22"/>
      <w:lang w:eastAsia="en-GB"/>
    </w:rPr>
  </w:style>
  <w:style w:type="paragraph" w:customStyle="1" w:styleId="Ploha5">
    <w:name w:val="Příloha_5"/>
    <w:basedOn w:val="Ploha2"/>
    <w:link w:val="Ploha5Char"/>
    <w:uiPriority w:val="10"/>
    <w:rsid w:val="00EE0EA4"/>
    <w:pPr>
      <w:numPr>
        <w:ilvl w:val="0"/>
        <w:numId w:val="15"/>
      </w:numPr>
      <w:tabs>
        <w:tab w:val="clear" w:pos="624"/>
        <w:tab w:val="left" w:pos="2438"/>
      </w:tabs>
      <w:ind w:left="2438" w:hanging="510"/>
    </w:pPr>
  </w:style>
  <w:style w:type="character" w:customStyle="1" w:styleId="Ploha4Char">
    <w:name w:val="Příloha_4 Char"/>
    <w:basedOn w:val="Ploha2Char"/>
    <w:link w:val="Ploha4"/>
    <w:uiPriority w:val="9"/>
    <w:rsid w:val="00EE0EA4"/>
    <w:rPr>
      <w:rFonts w:eastAsia="Batang"/>
      <w:sz w:val="22"/>
      <w:szCs w:val="22"/>
      <w:lang w:eastAsia="en-GB"/>
    </w:rPr>
  </w:style>
  <w:style w:type="paragraph" w:styleId="Nadpisobsahu">
    <w:name w:val="TOC Heading"/>
    <w:basedOn w:val="Nadpis1"/>
    <w:next w:val="Normln"/>
    <w:uiPriority w:val="39"/>
    <w:unhideWhenUsed/>
    <w:qFormat/>
    <w:rsid w:val="000B1A2A"/>
    <w:pPr>
      <w:keepLines/>
      <w:numPr>
        <w:numId w:val="0"/>
      </w:numPr>
      <w:tabs>
        <w:tab w:val="clear" w:pos="22"/>
      </w:tabs>
      <w:spacing w:before="240" w:after="0" w:line="259" w:lineRule="auto"/>
      <w:jc w:val="left"/>
      <w:outlineLvl w:val="9"/>
    </w:pPr>
    <w:rPr>
      <w:rFonts w:ascii="Calibri Light" w:eastAsia="Times New Roman" w:hAnsi="Calibri Light"/>
      <w:b w:val="0"/>
      <w:caps w:val="0"/>
      <w:color w:val="2E74B5"/>
      <w:kern w:val="0"/>
      <w:sz w:val="32"/>
      <w:szCs w:val="32"/>
      <w:lang w:eastAsia="cs-CZ"/>
    </w:rPr>
  </w:style>
  <w:style w:type="character" w:customStyle="1" w:styleId="Ploha5Char">
    <w:name w:val="Příloha_5 Char"/>
    <w:basedOn w:val="Ploha2Char"/>
    <w:link w:val="Ploha5"/>
    <w:uiPriority w:val="10"/>
    <w:rsid w:val="00EE0EA4"/>
    <w:rPr>
      <w:rFonts w:eastAsia="Batang"/>
      <w:sz w:val="22"/>
      <w:szCs w:val="22"/>
      <w:lang w:eastAsia="en-GB"/>
    </w:rPr>
  </w:style>
  <w:style w:type="character" w:customStyle="1" w:styleId="ZpatChar">
    <w:name w:val="Zápatí Char"/>
    <w:basedOn w:val="Standardnpsmoodstavce"/>
    <w:link w:val="Zpat"/>
    <w:semiHidden/>
    <w:rsid w:val="00105D04"/>
    <w:rPr>
      <w:rFonts w:eastAsia="Batang"/>
      <w:sz w:val="22"/>
      <w:szCs w:val="22"/>
      <w:lang w:eastAsia="en-GB"/>
    </w:rPr>
  </w:style>
  <w:style w:type="character" w:customStyle="1" w:styleId="ZhlavChar">
    <w:name w:val="Záhlaví Char"/>
    <w:basedOn w:val="Standardnpsmoodstavce"/>
    <w:link w:val="Zhlav"/>
    <w:semiHidden/>
    <w:rsid w:val="00997099"/>
    <w:rPr>
      <w:rFonts w:eastAsia="Batang"/>
      <w:sz w:val="22"/>
      <w:szCs w:val="22"/>
      <w:lang w:eastAsia="en-GB"/>
    </w:rPr>
  </w:style>
  <w:style w:type="paragraph" w:customStyle="1" w:styleId="bno">
    <w:name w:val="_bno"/>
    <w:basedOn w:val="Normln"/>
    <w:rsid w:val="009E56F2"/>
    <w:pPr>
      <w:spacing w:after="120" w:line="240" w:lineRule="auto"/>
      <w:ind w:left="720"/>
    </w:pPr>
    <w:rPr>
      <w:rFonts w:eastAsia="Times New Roman"/>
      <w:sz w:val="24"/>
      <w:szCs w:val="20"/>
      <w:lang w:eastAsia="cs-CZ"/>
    </w:rPr>
  </w:style>
  <w:style w:type="character" w:customStyle="1" w:styleId="Nadpis6Char">
    <w:name w:val="Nadpis 6 Char"/>
    <w:aliases w:val="6_Nadpis 6 Char"/>
    <w:basedOn w:val="Standardnpsmoodstavce"/>
    <w:link w:val="Nadpis6"/>
    <w:rsid w:val="00695AF3"/>
    <w:rPr>
      <w:rFonts w:eastAsia="Batang"/>
      <w:sz w:val="22"/>
      <w:szCs w:val="22"/>
      <w:lang w:eastAsia="en-GB"/>
    </w:rPr>
  </w:style>
  <w:style w:type="character" w:customStyle="1" w:styleId="Nadpis7Char">
    <w:name w:val="Nadpis 7 Char"/>
    <w:basedOn w:val="Standardnpsmoodstavce"/>
    <w:link w:val="Nadpis7"/>
    <w:rsid w:val="008535EB"/>
    <w:rPr>
      <w:rFonts w:eastAsia="Batang"/>
      <w:sz w:val="22"/>
      <w:szCs w:val="22"/>
      <w:lang w:eastAsia="en-GB"/>
    </w:rPr>
  </w:style>
  <w:style w:type="character" w:customStyle="1" w:styleId="Nadpis8Char">
    <w:name w:val="Nadpis 8 Char"/>
    <w:basedOn w:val="Standardnpsmoodstavce"/>
    <w:link w:val="Nadpis8"/>
    <w:rsid w:val="008535EB"/>
    <w:rPr>
      <w:rFonts w:eastAsia="Batang"/>
      <w:sz w:val="22"/>
      <w:szCs w:val="22"/>
      <w:lang w:eastAsia="en-GB"/>
    </w:rPr>
  </w:style>
  <w:style w:type="character" w:customStyle="1" w:styleId="Nadpis9Char">
    <w:name w:val="Nadpis 9 Char"/>
    <w:aliases w:val="PŘÍLOHA_název Char"/>
    <w:basedOn w:val="Standardnpsmoodstavce"/>
    <w:link w:val="Nadpis9"/>
    <w:rsid w:val="00E937F9"/>
    <w:rPr>
      <w:rFonts w:eastAsia="Batang"/>
      <w:b/>
      <w:caps/>
      <w:szCs w:val="22"/>
      <w:lang w:eastAsia="en-GB"/>
    </w:rPr>
  </w:style>
  <w:style w:type="character" w:customStyle="1" w:styleId="Zkladntext2Char">
    <w:name w:val="Základní text 2 Char"/>
    <w:basedOn w:val="Standardnpsmoodstavce"/>
    <w:link w:val="Zkladntext2"/>
    <w:uiPriority w:val="29"/>
    <w:semiHidden/>
    <w:rsid w:val="008535EB"/>
    <w:rPr>
      <w:rFonts w:eastAsia="Batang"/>
      <w:sz w:val="22"/>
      <w:szCs w:val="22"/>
      <w:lang w:eastAsia="en-GB"/>
    </w:rPr>
  </w:style>
  <w:style w:type="character" w:customStyle="1" w:styleId="Zkladntext3Char">
    <w:name w:val="Základní text 3 Char"/>
    <w:basedOn w:val="Standardnpsmoodstavce"/>
    <w:link w:val="Zkladntext3"/>
    <w:uiPriority w:val="29"/>
    <w:semiHidden/>
    <w:rsid w:val="008535EB"/>
    <w:rPr>
      <w:rFonts w:eastAsia="Batang"/>
      <w:sz w:val="22"/>
      <w:szCs w:val="22"/>
      <w:lang w:eastAsia="en-GB"/>
    </w:rPr>
  </w:style>
  <w:style w:type="character" w:customStyle="1" w:styleId="OslovenChar">
    <w:name w:val="Oslovení Char"/>
    <w:basedOn w:val="Standardnpsmoodstavce"/>
    <w:link w:val="Osloven"/>
    <w:uiPriority w:val="19"/>
    <w:semiHidden/>
    <w:rsid w:val="008535EB"/>
    <w:rPr>
      <w:rFonts w:eastAsia="Batang"/>
      <w:sz w:val="22"/>
      <w:szCs w:val="22"/>
      <w:lang w:eastAsia="en-GB"/>
    </w:rPr>
  </w:style>
  <w:style w:type="character" w:customStyle="1" w:styleId="PodpisChar">
    <w:name w:val="Podpis Char"/>
    <w:basedOn w:val="Standardnpsmoodstavce"/>
    <w:link w:val="Podpis"/>
    <w:uiPriority w:val="19"/>
    <w:semiHidden/>
    <w:rsid w:val="008535EB"/>
    <w:rPr>
      <w:rFonts w:eastAsia="Batang"/>
      <w:sz w:val="22"/>
      <w:szCs w:val="22"/>
      <w:lang w:eastAsia="en-GB"/>
    </w:rPr>
  </w:style>
  <w:style w:type="paragraph" w:styleId="Normlnweb">
    <w:name w:val="Normal (Web)"/>
    <w:basedOn w:val="Normln"/>
    <w:uiPriority w:val="99"/>
    <w:semiHidden/>
    <w:unhideWhenUsed/>
    <w:rsid w:val="00977FED"/>
    <w:pPr>
      <w:spacing w:before="225" w:after="225" w:line="240" w:lineRule="auto"/>
      <w:jc w:val="left"/>
    </w:pPr>
    <w:rPr>
      <w:rFonts w:eastAsia="Times New Roman"/>
      <w:sz w:val="24"/>
      <w:szCs w:val="24"/>
      <w:lang w:eastAsia="cs-CZ"/>
    </w:rPr>
  </w:style>
  <w:style w:type="character" w:customStyle="1" w:styleId="position3">
    <w:name w:val="position3"/>
    <w:basedOn w:val="Standardnpsmoodstavce"/>
    <w:rsid w:val="00977FED"/>
  </w:style>
  <w:style w:type="paragraph" w:customStyle="1" w:styleId="SignatureBlock">
    <w:name w:val="SignatureBlock"/>
    <w:basedOn w:val="Normln"/>
    <w:next w:val="Normln"/>
    <w:rsid w:val="005F6485"/>
    <w:pPr>
      <w:keepLines/>
      <w:tabs>
        <w:tab w:val="left" w:pos="5731"/>
        <w:tab w:val="right" w:pos="9000"/>
      </w:tabs>
      <w:spacing w:before="480" w:after="240" w:line="240" w:lineRule="auto"/>
      <w:ind w:left="5040" w:hanging="360"/>
      <w:jc w:val="left"/>
    </w:pPr>
    <w:rPr>
      <w:rFonts w:eastAsia="Times New Roman"/>
      <w:sz w:val="24"/>
      <w:szCs w:val="20"/>
      <w:lang w:val="en-US" w:eastAsia="cs-CZ"/>
    </w:rPr>
  </w:style>
  <w:style w:type="paragraph" w:customStyle="1" w:styleId="Ploha6">
    <w:name w:val="Příloha_6"/>
    <w:basedOn w:val="Ploha4"/>
    <w:link w:val="Ploha6Char"/>
    <w:uiPriority w:val="11"/>
    <w:qFormat/>
    <w:rsid w:val="00F70A20"/>
    <w:pPr>
      <w:numPr>
        <w:ilvl w:val="5"/>
        <w:numId w:val="14"/>
      </w:numPr>
      <w:tabs>
        <w:tab w:val="clear" w:pos="1928"/>
        <w:tab w:val="clear" w:pos="2268"/>
        <w:tab w:val="left" w:pos="2438"/>
      </w:tabs>
      <w:ind w:left="2438"/>
    </w:pPr>
    <w:rPr>
      <w:lang w:val="la-Latn"/>
    </w:rPr>
  </w:style>
  <w:style w:type="character" w:customStyle="1" w:styleId="Ploha6Char">
    <w:name w:val="Příloha_6 Char"/>
    <w:basedOn w:val="Ploha4Char"/>
    <w:link w:val="Ploha6"/>
    <w:uiPriority w:val="11"/>
    <w:rsid w:val="00F70A20"/>
    <w:rPr>
      <w:rFonts w:eastAsia="Batang"/>
      <w:sz w:val="22"/>
      <w:szCs w:val="22"/>
      <w:lang w:val="la-Latn" w:eastAsia="en-GB"/>
    </w:rPr>
  </w:style>
  <w:style w:type="paragraph" w:customStyle="1" w:styleId="Vchoz">
    <w:name w:val="Výchozí"/>
    <w:uiPriority w:val="9"/>
    <w:rsid w:val="00670F77"/>
    <w:rPr>
      <w:rFonts w:ascii="Helvetica" w:eastAsia="Arial Unicode MS" w:hAnsi="Helvetica" w:cs="Arial Unicode MS"/>
      <w:color w:val="000000"/>
      <w:sz w:val="22"/>
      <w:szCs w:val="22"/>
      <w:u w:color="000000"/>
    </w:rPr>
  </w:style>
  <w:style w:type="character" w:styleId="Siln">
    <w:name w:val="Strong"/>
    <w:basedOn w:val="Standardnpsmoodstavce"/>
    <w:uiPriority w:val="22"/>
    <w:qFormat/>
    <w:rsid w:val="00670F77"/>
    <w:rPr>
      <w:b/>
      <w:bCs/>
    </w:rPr>
  </w:style>
  <w:style w:type="character" w:styleId="Odkaznakoment">
    <w:name w:val="annotation reference"/>
    <w:basedOn w:val="Standardnpsmoodstavce"/>
    <w:uiPriority w:val="99"/>
    <w:semiHidden/>
    <w:unhideWhenUsed/>
    <w:rsid w:val="006B3FE8"/>
    <w:rPr>
      <w:sz w:val="16"/>
      <w:szCs w:val="16"/>
    </w:rPr>
  </w:style>
  <w:style w:type="paragraph" w:styleId="Textkomente">
    <w:name w:val="annotation text"/>
    <w:basedOn w:val="Normln"/>
    <w:link w:val="TextkomenteChar"/>
    <w:uiPriority w:val="99"/>
    <w:semiHidden/>
    <w:unhideWhenUsed/>
    <w:rsid w:val="006B3FE8"/>
    <w:pPr>
      <w:spacing w:line="240" w:lineRule="auto"/>
    </w:pPr>
    <w:rPr>
      <w:sz w:val="20"/>
      <w:szCs w:val="20"/>
    </w:rPr>
  </w:style>
  <w:style w:type="character" w:customStyle="1" w:styleId="TextkomenteChar">
    <w:name w:val="Text komentáře Char"/>
    <w:basedOn w:val="Standardnpsmoodstavce"/>
    <w:link w:val="Textkomente"/>
    <w:uiPriority w:val="99"/>
    <w:semiHidden/>
    <w:rsid w:val="006B3FE8"/>
    <w:rPr>
      <w:rFonts w:eastAsia="Batang"/>
      <w:lang w:eastAsia="en-GB"/>
    </w:rPr>
  </w:style>
  <w:style w:type="paragraph" w:styleId="Pedmtkomente">
    <w:name w:val="annotation subject"/>
    <w:basedOn w:val="Textkomente"/>
    <w:next w:val="Textkomente"/>
    <w:link w:val="PedmtkomenteChar"/>
    <w:uiPriority w:val="99"/>
    <w:semiHidden/>
    <w:unhideWhenUsed/>
    <w:rsid w:val="006B3FE8"/>
    <w:rPr>
      <w:b/>
      <w:bCs/>
    </w:rPr>
  </w:style>
  <w:style w:type="character" w:customStyle="1" w:styleId="PedmtkomenteChar">
    <w:name w:val="Předmět komentáře Char"/>
    <w:basedOn w:val="TextkomenteChar"/>
    <w:link w:val="Pedmtkomente"/>
    <w:uiPriority w:val="99"/>
    <w:semiHidden/>
    <w:rsid w:val="006B3FE8"/>
    <w:rPr>
      <w:rFonts w:eastAsia="Batang"/>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285382">
      <w:bodyDiv w:val="1"/>
      <w:marLeft w:val="0"/>
      <w:marRight w:val="0"/>
      <w:marTop w:val="0"/>
      <w:marBottom w:val="0"/>
      <w:divBdr>
        <w:top w:val="none" w:sz="0" w:space="0" w:color="auto"/>
        <w:left w:val="none" w:sz="0" w:space="0" w:color="auto"/>
        <w:bottom w:val="none" w:sz="0" w:space="0" w:color="auto"/>
        <w:right w:val="none" w:sz="0" w:space="0" w:color="auto"/>
      </w:divBdr>
    </w:div>
    <w:div w:id="265357661">
      <w:bodyDiv w:val="1"/>
      <w:marLeft w:val="0"/>
      <w:marRight w:val="0"/>
      <w:marTop w:val="0"/>
      <w:marBottom w:val="0"/>
      <w:divBdr>
        <w:top w:val="none" w:sz="0" w:space="0" w:color="auto"/>
        <w:left w:val="none" w:sz="0" w:space="0" w:color="auto"/>
        <w:bottom w:val="none" w:sz="0" w:space="0" w:color="auto"/>
        <w:right w:val="none" w:sz="0" w:space="0" w:color="auto"/>
      </w:divBdr>
    </w:div>
    <w:div w:id="576474220">
      <w:bodyDiv w:val="1"/>
      <w:marLeft w:val="0"/>
      <w:marRight w:val="0"/>
      <w:marTop w:val="0"/>
      <w:marBottom w:val="0"/>
      <w:divBdr>
        <w:top w:val="none" w:sz="0" w:space="0" w:color="auto"/>
        <w:left w:val="none" w:sz="0" w:space="0" w:color="auto"/>
        <w:bottom w:val="none" w:sz="0" w:space="0" w:color="auto"/>
        <w:right w:val="none" w:sz="0" w:space="0" w:color="auto"/>
      </w:divBdr>
    </w:div>
    <w:div w:id="618415607">
      <w:bodyDiv w:val="1"/>
      <w:marLeft w:val="0"/>
      <w:marRight w:val="0"/>
      <w:marTop w:val="0"/>
      <w:marBottom w:val="0"/>
      <w:divBdr>
        <w:top w:val="none" w:sz="0" w:space="0" w:color="auto"/>
        <w:left w:val="none" w:sz="0" w:space="0" w:color="auto"/>
        <w:bottom w:val="none" w:sz="0" w:space="0" w:color="auto"/>
        <w:right w:val="none" w:sz="0" w:space="0" w:color="auto"/>
      </w:divBdr>
    </w:div>
    <w:div w:id="757138480">
      <w:bodyDiv w:val="1"/>
      <w:marLeft w:val="0"/>
      <w:marRight w:val="0"/>
      <w:marTop w:val="0"/>
      <w:marBottom w:val="1275"/>
      <w:divBdr>
        <w:top w:val="none" w:sz="0" w:space="0" w:color="auto"/>
        <w:left w:val="none" w:sz="0" w:space="0" w:color="auto"/>
        <w:bottom w:val="none" w:sz="0" w:space="0" w:color="auto"/>
        <w:right w:val="none" w:sz="0" w:space="0" w:color="auto"/>
      </w:divBdr>
      <w:divsChild>
        <w:div w:id="795296724">
          <w:marLeft w:val="0"/>
          <w:marRight w:val="0"/>
          <w:marTop w:val="100"/>
          <w:marBottom w:val="100"/>
          <w:divBdr>
            <w:top w:val="none" w:sz="0" w:space="0" w:color="auto"/>
            <w:left w:val="none" w:sz="0" w:space="0" w:color="auto"/>
            <w:bottom w:val="none" w:sz="0" w:space="0" w:color="auto"/>
            <w:right w:val="none" w:sz="0" w:space="0" w:color="auto"/>
          </w:divBdr>
          <w:divsChild>
            <w:div w:id="1471749073">
              <w:marLeft w:val="0"/>
              <w:marRight w:val="0"/>
              <w:marTop w:val="0"/>
              <w:marBottom w:val="0"/>
              <w:divBdr>
                <w:top w:val="none" w:sz="0" w:space="0" w:color="auto"/>
                <w:left w:val="none" w:sz="0" w:space="0" w:color="auto"/>
                <w:bottom w:val="none" w:sz="0" w:space="0" w:color="auto"/>
                <w:right w:val="none" w:sz="0" w:space="0" w:color="auto"/>
              </w:divBdr>
              <w:divsChild>
                <w:div w:id="941693933">
                  <w:marLeft w:val="0"/>
                  <w:marRight w:val="0"/>
                  <w:marTop w:val="0"/>
                  <w:marBottom w:val="0"/>
                  <w:divBdr>
                    <w:top w:val="none" w:sz="0" w:space="0" w:color="auto"/>
                    <w:left w:val="none" w:sz="0" w:space="0" w:color="auto"/>
                    <w:bottom w:val="none" w:sz="0" w:space="0" w:color="auto"/>
                    <w:right w:val="none" w:sz="0" w:space="0" w:color="auto"/>
                  </w:divBdr>
                  <w:divsChild>
                    <w:div w:id="1001813535">
                      <w:marLeft w:val="0"/>
                      <w:marRight w:val="0"/>
                      <w:marTop w:val="0"/>
                      <w:marBottom w:val="0"/>
                      <w:divBdr>
                        <w:top w:val="none" w:sz="0" w:space="0" w:color="auto"/>
                        <w:left w:val="none" w:sz="0" w:space="0" w:color="auto"/>
                        <w:bottom w:val="none" w:sz="0" w:space="0" w:color="auto"/>
                        <w:right w:val="none" w:sz="0" w:space="0" w:color="auto"/>
                      </w:divBdr>
                      <w:divsChild>
                        <w:div w:id="1091194900">
                          <w:marLeft w:val="0"/>
                          <w:marRight w:val="0"/>
                          <w:marTop w:val="0"/>
                          <w:marBottom w:val="0"/>
                          <w:divBdr>
                            <w:top w:val="none" w:sz="0" w:space="0" w:color="auto"/>
                            <w:left w:val="none" w:sz="0" w:space="0" w:color="auto"/>
                            <w:bottom w:val="none" w:sz="0" w:space="0" w:color="auto"/>
                            <w:right w:val="none" w:sz="0" w:space="0" w:color="auto"/>
                          </w:divBdr>
                          <w:divsChild>
                            <w:div w:id="304968527">
                              <w:marLeft w:val="0"/>
                              <w:marRight w:val="0"/>
                              <w:marTop w:val="0"/>
                              <w:marBottom w:val="0"/>
                              <w:divBdr>
                                <w:top w:val="none" w:sz="0" w:space="0" w:color="auto"/>
                                <w:left w:val="none" w:sz="0" w:space="0" w:color="auto"/>
                                <w:bottom w:val="none" w:sz="0" w:space="0" w:color="auto"/>
                                <w:right w:val="none" w:sz="0" w:space="0" w:color="auto"/>
                              </w:divBdr>
                              <w:divsChild>
                                <w:div w:id="2000110577">
                                  <w:marLeft w:val="0"/>
                                  <w:marRight w:val="0"/>
                                  <w:marTop w:val="0"/>
                                  <w:marBottom w:val="0"/>
                                  <w:divBdr>
                                    <w:top w:val="none" w:sz="0" w:space="0" w:color="auto"/>
                                    <w:left w:val="none" w:sz="0" w:space="0" w:color="auto"/>
                                    <w:bottom w:val="none" w:sz="0" w:space="0" w:color="auto"/>
                                    <w:right w:val="none" w:sz="0" w:space="0" w:color="auto"/>
                                  </w:divBdr>
                                  <w:divsChild>
                                    <w:div w:id="316806262">
                                      <w:marLeft w:val="0"/>
                                      <w:marRight w:val="0"/>
                                      <w:marTop w:val="0"/>
                                      <w:marBottom w:val="0"/>
                                      <w:divBdr>
                                        <w:top w:val="none" w:sz="0" w:space="0" w:color="auto"/>
                                        <w:left w:val="none" w:sz="0" w:space="0" w:color="auto"/>
                                        <w:bottom w:val="none" w:sz="0" w:space="0" w:color="auto"/>
                                        <w:right w:val="none" w:sz="0" w:space="0" w:color="auto"/>
                                      </w:divBdr>
                                      <w:divsChild>
                                        <w:div w:id="12015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2473010">
      <w:bodyDiv w:val="1"/>
      <w:marLeft w:val="0"/>
      <w:marRight w:val="0"/>
      <w:marTop w:val="0"/>
      <w:marBottom w:val="0"/>
      <w:divBdr>
        <w:top w:val="none" w:sz="0" w:space="0" w:color="auto"/>
        <w:left w:val="none" w:sz="0" w:space="0" w:color="auto"/>
        <w:bottom w:val="none" w:sz="0" w:space="0" w:color="auto"/>
        <w:right w:val="none" w:sz="0" w:space="0" w:color="auto"/>
      </w:divBdr>
    </w:div>
    <w:div w:id="1031882880">
      <w:bodyDiv w:val="1"/>
      <w:marLeft w:val="0"/>
      <w:marRight w:val="0"/>
      <w:marTop w:val="0"/>
      <w:marBottom w:val="0"/>
      <w:divBdr>
        <w:top w:val="none" w:sz="0" w:space="0" w:color="auto"/>
        <w:left w:val="none" w:sz="0" w:space="0" w:color="auto"/>
        <w:bottom w:val="none" w:sz="0" w:space="0" w:color="auto"/>
        <w:right w:val="none" w:sz="0" w:space="0" w:color="auto"/>
      </w:divBdr>
    </w:div>
    <w:div w:id="1042638039">
      <w:bodyDiv w:val="1"/>
      <w:marLeft w:val="0"/>
      <w:marRight w:val="0"/>
      <w:marTop w:val="0"/>
      <w:marBottom w:val="0"/>
      <w:divBdr>
        <w:top w:val="none" w:sz="0" w:space="0" w:color="auto"/>
        <w:left w:val="none" w:sz="0" w:space="0" w:color="auto"/>
        <w:bottom w:val="none" w:sz="0" w:space="0" w:color="auto"/>
        <w:right w:val="none" w:sz="0" w:space="0" w:color="auto"/>
      </w:divBdr>
    </w:div>
    <w:div w:id="1073814405">
      <w:bodyDiv w:val="1"/>
      <w:marLeft w:val="0"/>
      <w:marRight w:val="0"/>
      <w:marTop w:val="0"/>
      <w:marBottom w:val="0"/>
      <w:divBdr>
        <w:top w:val="none" w:sz="0" w:space="0" w:color="auto"/>
        <w:left w:val="none" w:sz="0" w:space="0" w:color="auto"/>
        <w:bottom w:val="none" w:sz="0" w:space="0" w:color="auto"/>
        <w:right w:val="none" w:sz="0" w:space="0" w:color="auto"/>
      </w:divBdr>
    </w:div>
    <w:div w:id="1152602648">
      <w:bodyDiv w:val="1"/>
      <w:marLeft w:val="0"/>
      <w:marRight w:val="0"/>
      <w:marTop w:val="0"/>
      <w:marBottom w:val="0"/>
      <w:divBdr>
        <w:top w:val="none" w:sz="0" w:space="0" w:color="auto"/>
        <w:left w:val="none" w:sz="0" w:space="0" w:color="auto"/>
        <w:bottom w:val="none" w:sz="0" w:space="0" w:color="auto"/>
        <w:right w:val="none" w:sz="0" w:space="0" w:color="auto"/>
      </w:divBdr>
    </w:div>
    <w:div w:id="1183281383">
      <w:bodyDiv w:val="1"/>
      <w:marLeft w:val="0"/>
      <w:marRight w:val="0"/>
      <w:marTop w:val="0"/>
      <w:marBottom w:val="0"/>
      <w:divBdr>
        <w:top w:val="none" w:sz="0" w:space="0" w:color="auto"/>
        <w:left w:val="none" w:sz="0" w:space="0" w:color="auto"/>
        <w:bottom w:val="none" w:sz="0" w:space="0" w:color="auto"/>
        <w:right w:val="none" w:sz="0" w:space="0" w:color="auto"/>
      </w:divBdr>
    </w:div>
    <w:div w:id="1185172351">
      <w:bodyDiv w:val="1"/>
      <w:marLeft w:val="0"/>
      <w:marRight w:val="0"/>
      <w:marTop w:val="0"/>
      <w:marBottom w:val="0"/>
      <w:divBdr>
        <w:top w:val="none" w:sz="0" w:space="0" w:color="auto"/>
        <w:left w:val="none" w:sz="0" w:space="0" w:color="auto"/>
        <w:bottom w:val="none" w:sz="0" w:space="0" w:color="auto"/>
        <w:right w:val="none" w:sz="0" w:space="0" w:color="auto"/>
      </w:divBdr>
    </w:div>
    <w:div w:id="1353993161">
      <w:bodyDiv w:val="1"/>
      <w:marLeft w:val="0"/>
      <w:marRight w:val="0"/>
      <w:marTop w:val="0"/>
      <w:marBottom w:val="0"/>
      <w:divBdr>
        <w:top w:val="none" w:sz="0" w:space="0" w:color="auto"/>
        <w:left w:val="none" w:sz="0" w:space="0" w:color="auto"/>
        <w:bottom w:val="none" w:sz="0" w:space="0" w:color="auto"/>
        <w:right w:val="none" w:sz="0" w:space="0" w:color="auto"/>
      </w:divBdr>
    </w:div>
    <w:div w:id="1392730547">
      <w:bodyDiv w:val="1"/>
      <w:marLeft w:val="0"/>
      <w:marRight w:val="0"/>
      <w:marTop w:val="0"/>
      <w:marBottom w:val="0"/>
      <w:divBdr>
        <w:top w:val="none" w:sz="0" w:space="0" w:color="auto"/>
        <w:left w:val="none" w:sz="0" w:space="0" w:color="auto"/>
        <w:bottom w:val="none" w:sz="0" w:space="0" w:color="auto"/>
        <w:right w:val="none" w:sz="0" w:space="0" w:color="auto"/>
      </w:divBdr>
    </w:div>
    <w:div w:id="1426145344">
      <w:bodyDiv w:val="1"/>
      <w:marLeft w:val="0"/>
      <w:marRight w:val="0"/>
      <w:marTop w:val="0"/>
      <w:marBottom w:val="0"/>
      <w:divBdr>
        <w:top w:val="none" w:sz="0" w:space="0" w:color="auto"/>
        <w:left w:val="none" w:sz="0" w:space="0" w:color="auto"/>
        <w:bottom w:val="none" w:sz="0" w:space="0" w:color="auto"/>
        <w:right w:val="none" w:sz="0" w:space="0" w:color="auto"/>
      </w:divBdr>
    </w:div>
    <w:div w:id="1496872206">
      <w:bodyDiv w:val="1"/>
      <w:marLeft w:val="0"/>
      <w:marRight w:val="0"/>
      <w:marTop w:val="0"/>
      <w:marBottom w:val="0"/>
      <w:divBdr>
        <w:top w:val="none" w:sz="0" w:space="0" w:color="auto"/>
        <w:left w:val="none" w:sz="0" w:space="0" w:color="auto"/>
        <w:bottom w:val="none" w:sz="0" w:space="0" w:color="auto"/>
        <w:right w:val="none" w:sz="0" w:space="0" w:color="auto"/>
      </w:divBdr>
    </w:div>
    <w:div w:id="1741828538">
      <w:bodyDiv w:val="1"/>
      <w:marLeft w:val="0"/>
      <w:marRight w:val="0"/>
      <w:marTop w:val="0"/>
      <w:marBottom w:val="0"/>
      <w:divBdr>
        <w:top w:val="none" w:sz="0" w:space="0" w:color="auto"/>
        <w:left w:val="none" w:sz="0" w:space="0" w:color="auto"/>
        <w:bottom w:val="none" w:sz="0" w:space="0" w:color="auto"/>
        <w:right w:val="none" w:sz="0" w:space="0" w:color="auto"/>
      </w:divBdr>
    </w:div>
    <w:div w:id="1832867800">
      <w:bodyDiv w:val="1"/>
      <w:marLeft w:val="0"/>
      <w:marRight w:val="0"/>
      <w:marTop w:val="0"/>
      <w:marBottom w:val="0"/>
      <w:divBdr>
        <w:top w:val="none" w:sz="0" w:space="0" w:color="auto"/>
        <w:left w:val="none" w:sz="0" w:space="0" w:color="auto"/>
        <w:bottom w:val="none" w:sz="0" w:space="0" w:color="auto"/>
        <w:right w:val="none" w:sz="0" w:space="0" w:color="auto"/>
      </w:divBdr>
    </w:div>
    <w:div w:id="1840731387">
      <w:bodyDiv w:val="1"/>
      <w:marLeft w:val="0"/>
      <w:marRight w:val="0"/>
      <w:marTop w:val="0"/>
      <w:marBottom w:val="0"/>
      <w:divBdr>
        <w:top w:val="none" w:sz="0" w:space="0" w:color="auto"/>
        <w:left w:val="none" w:sz="0" w:space="0" w:color="auto"/>
        <w:bottom w:val="none" w:sz="0" w:space="0" w:color="auto"/>
        <w:right w:val="none" w:sz="0" w:space="0" w:color="auto"/>
      </w:divBdr>
    </w:div>
    <w:div w:id="197980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542DF-12E4-4F3B-8454-E0342D75E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5980</Words>
  <Characters>32872</Characters>
  <Application>Microsoft Office Word</Application>
  <DocSecurity>0</DocSecurity>
  <Lines>273</Lines>
  <Paragraphs>77</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38775</CharactersWithSpaces>
  <SharedDoc>false</SharedDoc>
  <HLinks>
    <vt:vector size="204" baseType="variant">
      <vt:variant>
        <vt:i4>1245246</vt:i4>
      </vt:variant>
      <vt:variant>
        <vt:i4>200</vt:i4>
      </vt:variant>
      <vt:variant>
        <vt:i4>0</vt:i4>
      </vt:variant>
      <vt:variant>
        <vt:i4>5</vt:i4>
      </vt:variant>
      <vt:variant>
        <vt:lpwstr/>
      </vt:variant>
      <vt:variant>
        <vt:lpwstr>_Toc432413909</vt:lpwstr>
      </vt:variant>
      <vt:variant>
        <vt:i4>1245246</vt:i4>
      </vt:variant>
      <vt:variant>
        <vt:i4>194</vt:i4>
      </vt:variant>
      <vt:variant>
        <vt:i4>0</vt:i4>
      </vt:variant>
      <vt:variant>
        <vt:i4>5</vt:i4>
      </vt:variant>
      <vt:variant>
        <vt:lpwstr/>
      </vt:variant>
      <vt:variant>
        <vt:lpwstr>_Toc432413908</vt:lpwstr>
      </vt:variant>
      <vt:variant>
        <vt:i4>1245246</vt:i4>
      </vt:variant>
      <vt:variant>
        <vt:i4>188</vt:i4>
      </vt:variant>
      <vt:variant>
        <vt:i4>0</vt:i4>
      </vt:variant>
      <vt:variant>
        <vt:i4>5</vt:i4>
      </vt:variant>
      <vt:variant>
        <vt:lpwstr/>
      </vt:variant>
      <vt:variant>
        <vt:lpwstr>_Toc432413907</vt:lpwstr>
      </vt:variant>
      <vt:variant>
        <vt:i4>1245246</vt:i4>
      </vt:variant>
      <vt:variant>
        <vt:i4>182</vt:i4>
      </vt:variant>
      <vt:variant>
        <vt:i4>0</vt:i4>
      </vt:variant>
      <vt:variant>
        <vt:i4>5</vt:i4>
      </vt:variant>
      <vt:variant>
        <vt:lpwstr/>
      </vt:variant>
      <vt:variant>
        <vt:lpwstr>_Toc432413906</vt:lpwstr>
      </vt:variant>
      <vt:variant>
        <vt:i4>1245246</vt:i4>
      </vt:variant>
      <vt:variant>
        <vt:i4>176</vt:i4>
      </vt:variant>
      <vt:variant>
        <vt:i4>0</vt:i4>
      </vt:variant>
      <vt:variant>
        <vt:i4>5</vt:i4>
      </vt:variant>
      <vt:variant>
        <vt:lpwstr/>
      </vt:variant>
      <vt:variant>
        <vt:lpwstr>_Toc432413905</vt:lpwstr>
      </vt:variant>
      <vt:variant>
        <vt:i4>1245246</vt:i4>
      </vt:variant>
      <vt:variant>
        <vt:i4>170</vt:i4>
      </vt:variant>
      <vt:variant>
        <vt:i4>0</vt:i4>
      </vt:variant>
      <vt:variant>
        <vt:i4>5</vt:i4>
      </vt:variant>
      <vt:variant>
        <vt:lpwstr/>
      </vt:variant>
      <vt:variant>
        <vt:lpwstr>_Toc432413904</vt:lpwstr>
      </vt:variant>
      <vt:variant>
        <vt:i4>1245246</vt:i4>
      </vt:variant>
      <vt:variant>
        <vt:i4>164</vt:i4>
      </vt:variant>
      <vt:variant>
        <vt:i4>0</vt:i4>
      </vt:variant>
      <vt:variant>
        <vt:i4>5</vt:i4>
      </vt:variant>
      <vt:variant>
        <vt:lpwstr/>
      </vt:variant>
      <vt:variant>
        <vt:lpwstr>_Toc432413903</vt:lpwstr>
      </vt:variant>
      <vt:variant>
        <vt:i4>1245246</vt:i4>
      </vt:variant>
      <vt:variant>
        <vt:i4>158</vt:i4>
      </vt:variant>
      <vt:variant>
        <vt:i4>0</vt:i4>
      </vt:variant>
      <vt:variant>
        <vt:i4>5</vt:i4>
      </vt:variant>
      <vt:variant>
        <vt:lpwstr/>
      </vt:variant>
      <vt:variant>
        <vt:lpwstr>_Toc432413902</vt:lpwstr>
      </vt:variant>
      <vt:variant>
        <vt:i4>1245246</vt:i4>
      </vt:variant>
      <vt:variant>
        <vt:i4>152</vt:i4>
      </vt:variant>
      <vt:variant>
        <vt:i4>0</vt:i4>
      </vt:variant>
      <vt:variant>
        <vt:i4>5</vt:i4>
      </vt:variant>
      <vt:variant>
        <vt:lpwstr/>
      </vt:variant>
      <vt:variant>
        <vt:lpwstr>_Toc432413901</vt:lpwstr>
      </vt:variant>
      <vt:variant>
        <vt:i4>1245246</vt:i4>
      </vt:variant>
      <vt:variant>
        <vt:i4>146</vt:i4>
      </vt:variant>
      <vt:variant>
        <vt:i4>0</vt:i4>
      </vt:variant>
      <vt:variant>
        <vt:i4>5</vt:i4>
      </vt:variant>
      <vt:variant>
        <vt:lpwstr/>
      </vt:variant>
      <vt:variant>
        <vt:lpwstr>_Toc432413900</vt:lpwstr>
      </vt:variant>
      <vt:variant>
        <vt:i4>1703999</vt:i4>
      </vt:variant>
      <vt:variant>
        <vt:i4>140</vt:i4>
      </vt:variant>
      <vt:variant>
        <vt:i4>0</vt:i4>
      </vt:variant>
      <vt:variant>
        <vt:i4>5</vt:i4>
      </vt:variant>
      <vt:variant>
        <vt:lpwstr/>
      </vt:variant>
      <vt:variant>
        <vt:lpwstr>_Toc432413899</vt:lpwstr>
      </vt:variant>
      <vt:variant>
        <vt:i4>1703999</vt:i4>
      </vt:variant>
      <vt:variant>
        <vt:i4>134</vt:i4>
      </vt:variant>
      <vt:variant>
        <vt:i4>0</vt:i4>
      </vt:variant>
      <vt:variant>
        <vt:i4>5</vt:i4>
      </vt:variant>
      <vt:variant>
        <vt:lpwstr/>
      </vt:variant>
      <vt:variant>
        <vt:lpwstr>_Toc432413898</vt:lpwstr>
      </vt:variant>
      <vt:variant>
        <vt:i4>1703999</vt:i4>
      </vt:variant>
      <vt:variant>
        <vt:i4>128</vt:i4>
      </vt:variant>
      <vt:variant>
        <vt:i4>0</vt:i4>
      </vt:variant>
      <vt:variant>
        <vt:i4>5</vt:i4>
      </vt:variant>
      <vt:variant>
        <vt:lpwstr/>
      </vt:variant>
      <vt:variant>
        <vt:lpwstr>_Toc432413897</vt:lpwstr>
      </vt:variant>
      <vt:variant>
        <vt:i4>1703999</vt:i4>
      </vt:variant>
      <vt:variant>
        <vt:i4>122</vt:i4>
      </vt:variant>
      <vt:variant>
        <vt:i4>0</vt:i4>
      </vt:variant>
      <vt:variant>
        <vt:i4>5</vt:i4>
      </vt:variant>
      <vt:variant>
        <vt:lpwstr/>
      </vt:variant>
      <vt:variant>
        <vt:lpwstr>_Toc432413896</vt:lpwstr>
      </vt:variant>
      <vt:variant>
        <vt:i4>1703999</vt:i4>
      </vt:variant>
      <vt:variant>
        <vt:i4>116</vt:i4>
      </vt:variant>
      <vt:variant>
        <vt:i4>0</vt:i4>
      </vt:variant>
      <vt:variant>
        <vt:i4>5</vt:i4>
      </vt:variant>
      <vt:variant>
        <vt:lpwstr/>
      </vt:variant>
      <vt:variant>
        <vt:lpwstr>_Toc432413895</vt:lpwstr>
      </vt:variant>
      <vt:variant>
        <vt:i4>1703999</vt:i4>
      </vt:variant>
      <vt:variant>
        <vt:i4>110</vt:i4>
      </vt:variant>
      <vt:variant>
        <vt:i4>0</vt:i4>
      </vt:variant>
      <vt:variant>
        <vt:i4>5</vt:i4>
      </vt:variant>
      <vt:variant>
        <vt:lpwstr/>
      </vt:variant>
      <vt:variant>
        <vt:lpwstr>_Toc432413894</vt:lpwstr>
      </vt:variant>
      <vt:variant>
        <vt:i4>1703999</vt:i4>
      </vt:variant>
      <vt:variant>
        <vt:i4>104</vt:i4>
      </vt:variant>
      <vt:variant>
        <vt:i4>0</vt:i4>
      </vt:variant>
      <vt:variant>
        <vt:i4>5</vt:i4>
      </vt:variant>
      <vt:variant>
        <vt:lpwstr/>
      </vt:variant>
      <vt:variant>
        <vt:lpwstr>_Toc432413893</vt:lpwstr>
      </vt:variant>
      <vt:variant>
        <vt:i4>1703999</vt:i4>
      </vt:variant>
      <vt:variant>
        <vt:i4>98</vt:i4>
      </vt:variant>
      <vt:variant>
        <vt:i4>0</vt:i4>
      </vt:variant>
      <vt:variant>
        <vt:i4>5</vt:i4>
      </vt:variant>
      <vt:variant>
        <vt:lpwstr/>
      </vt:variant>
      <vt:variant>
        <vt:lpwstr>_Toc432413892</vt:lpwstr>
      </vt:variant>
      <vt:variant>
        <vt:i4>1703999</vt:i4>
      </vt:variant>
      <vt:variant>
        <vt:i4>92</vt:i4>
      </vt:variant>
      <vt:variant>
        <vt:i4>0</vt:i4>
      </vt:variant>
      <vt:variant>
        <vt:i4>5</vt:i4>
      </vt:variant>
      <vt:variant>
        <vt:lpwstr/>
      </vt:variant>
      <vt:variant>
        <vt:lpwstr>_Toc432413891</vt:lpwstr>
      </vt:variant>
      <vt:variant>
        <vt:i4>1703999</vt:i4>
      </vt:variant>
      <vt:variant>
        <vt:i4>86</vt:i4>
      </vt:variant>
      <vt:variant>
        <vt:i4>0</vt:i4>
      </vt:variant>
      <vt:variant>
        <vt:i4>5</vt:i4>
      </vt:variant>
      <vt:variant>
        <vt:lpwstr/>
      </vt:variant>
      <vt:variant>
        <vt:lpwstr>_Toc432413890</vt:lpwstr>
      </vt:variant>
      <vt:variant>
        <vt:i4>1769535</vt:i4>
      </vt:variant>
      <vt:variant>
        <vt:i4>80</vt:i4>
      </vt:variant>
      <vt:variant>
        <vt:i4>0</vt:i4>
      </vt:variant>
      <vt:variant>
        <vt:i4>5</vt:i4>
      </vt:variant>
      <vt:variant>
        <vt:lpwstr/>
      </vt:variant>
      <vt:variant>
        <vt:lpwstr>_Toc432413889</vt:lpwstr>
      </vt:variant>
      <vt:variant>
        <vt:i4>1769535</vt:i4>
      </vt:variant>
      <vt:variant>
        <vt:i4>74</vt:i4>
      </vt:variant>
      <vt:variant>
        <vt:i4>0</vt:i4>
      </vt:variant>
      <vt:variant>
        <vt:i4>5</vt:i4>
      </vt:variant>
      <vt:variant>
        <vt:lpwstr/>
      </vt:variant>
      <vt:variant>
        <vt:lpwstr>_Toc432413888</vt:lpwstr>
      </vt:variant>
      <vt:variant>
        <vt:i4>1769535</vt:i4>
      </vt:variant>
      <vt:variant>
        <vt:i4>68</vt:i4>
      </vt:variant>
      <vt:variant>
        <vt:i4>0</vt:i4>
      </vt:variant>
      <vt:variant>
        <vt:i4>5</vt:i4>
      </vt:variant>
      <vt:variant>
        <vt:lpwstr/>
      </vt:variant>
      <vt:variant>
        <vt:lpwstr>_Toc432413887</vt:lpwstr>
      </vt:variant>
      <vt:variant>
        <vt:i4>1769535</vt:i4>
      </vt:variant>
      <vt:variant>
        <vt:i4>62</vt:i4>
      </vt:variant>
      <vt:variant>
        <vt:i4>0</vt:i4>
      </vt:variant>
      <vt:variant>
        <vt:i4>5</vt:i4>
      </vt:variant>
      <vt:variant>
        <vt:lpwstr/>
      </vt:variant>
      <vt:variant>
        <vt:lpwstr>_Toc432413886</vt:lpwstr>
      </vt:variant>
      <vt:variant>
        <vt:i4>1769535</vt:i4>
      </vt:variant>
      <vt:variant>
        <vt:i4>56</vt:i4>
      </vt:variant>
      <vt:variant>
        <vt:i4>0</vt:i4>
      </vt:variant>
      <vt:variant>
        <vt:i4>5</vt:i4>
      </vt:variant>
      <vt:variant>
        <vt:lpwstr/>
      </vt:variant>
      <vt:variant>
        <vt:lpwstr>_Toc432413885</vt:lpwstr>
      </vt:variant>
      <vt:variant>
        <vt:i4>1769535</vt:i4>
      </vt:variant>
      <vt:variant>
        <vt:i4>50</vt:i4>
      </vt:variant>
      <vt:variant>
        <vt:i4>0</vt:i4>
      </vt:variant>
      <vt:variant>
        <vt:i4>5</vt:i4>
      </vt:variant>
      <vt:variant>
        <vt:lpwstr/>
      </vt:variant>
      <vt:variant>
        <vt:lpwstr>_Toc432413884</vt:lpwstr>
      </vt:variant>
      <vt:variant>
        <vt:i4>1769535</vt:i4>
      </vt:variant>
      <vt:variant>
        <vt:i4>44</vt:i4>
      </vt:variant>
      <vt:variant>
        <vt:i4>0</vt:i4>
      </vt:variant>
      <vt:variant>
        <vt:i4>5</vt:i4>
      </vt:variant>
      <vt:variant>
        <vt:lpwstr/>
      </vt:variant>
      <vt:variant>
        <vt:lpwstr>_Toc432413883</vt:lpwstr>
      </vt:variant>
      <vt:variant>
        <vt:i4>1769535</vt:i4>
      </vt:variant>
      <vt:variant>
        <vt:i4>38</vt:i4>
      </vt:variant>
      <vt:variant>
        <vt:i4>0</vt:i4>
      </vt:variant>
      <vt:variant>
        <vt:i4>5</vt:i4>
      </vt:variant>
      <vt:variant>
        <vt:lpwstr/>
      </vt:variant>
      <vt:variant>
        <vt:lpwstr>_Toc432413882</vt:lpwstr>
      </vt:variant>
      <vt:variant>
        <vt:i4>1769535</vt:i4>
      </vt:variant>
      <vt:variant>
        <vt:i4>32</vt:i4>
      </vt:variant>
      <vt:variant>
        <vt:i4>0</vt:i4>
      </vt:variant>
      <vt:variant>
        <vt:i4>5</vt:i4>
      </vt:variant>
      <vt:variant>
        <vt:lpwstr/>
      </vt:variant>
      <vt:variant>
        <vt:lpwstr>_Toc432413881</vt:lpwstr>
      </vt:variant>
      <vt:variant>
        <vt:i4>1769535</vt:i4>
      </vt:variant>
      <vt:variant>
        <vt:i4>26</vt:i4>
      </vt:variant>
      <vt:variant>
        <vt:i4>0</vt:i4>
      </vt:variant>
      <vt:variant>
        <vt:i4>5</vt:i4>
      </vt:variant>
      <vt:variant>
        <vt:lpwstr/>
      </vt:variant>
      <vt:variant>
        <vt:lpwstr>_Toc432413880</vt:lpwstr>
      </vt:variant>
      <vt:variant>
        <vt:i4>1310783</vt:i4>
      </vt:variant>
      <vt:variant>
        <vt:i4>20</vt:i4>
      </vt:variant>
      <vt:variant>
        <vt:i4>0</vt:i4>
      </vt:variant>
      <vt:variant>
        <vt:i4>5</vt:i4>
      </vt:variant>
      <vt:variant>
        <vt:lpwstr/>
      </vt:variant>
      <vt:variant>
        <vt:lpwstr>_Toc432413879</vt:lpwstr>
      </vt:variant>
      <vt:variant>
        <vt:i4>1310783</vt:i4>
      </vt:variant>
      <vt:variant>
        <vt:i4>14</vt:i4>
      </vt:variant>
      <vt:variant>
        <vt:i4>0</vt:i4>
      </vt:variant>
      <vt:variant>
        <vt:i4>5</vt:i4>
      </vt:variant>
      <vt:variant>
        <vt:lpwstr/>
      </vt:variant>
      <vt:variant>
        <vt:lpwstr>_Toc432413878</vt:lpwstr>
      </vt:variant>
      <vt:variant>
        <vt:i4>1310783</vt:i4>
      </vt:variant>
      <vt:variant>
        <vt:i4>8</vt:i4>
      </vt:variant>
      <vt:variant>
        <vt:i4>0</vt:i4>
      </vt:variant>
      <vt:variant>
        <vt:i4>5</vt:i4>
      </vt:variant>
      <vt:variant>
        <vt:lpwstr/>
      </vt:variant>
      <vt:variant>
        <vt:lpwstr>_Toc432413877</vt:lpwstr>
      </vt:variant>
      <vt:variant>
        <vt:i4>1310783</vt:i4>
      </vt:variant>
      <vt:variant>
        <vt:i4>2</vt:i4>
      </vt:variant>
      <vt:variant>
        <vt:i4>0</vt:i4>
      </vt:variant>
      <vt:variant>
        <vt:i4>5</vt:i4>
      </vt:variant>
      <vt:variant>
        <vt:lpwstr/>
      </vt:variant>
      <vt:variant>
        <vt:lpwstr>_Toc432413876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2018-03-23T07:20:00Z</dcterms:created>
  <dcterms:modified xsi:type="dcterms:W3CDTF">2018-03-23T11:07:00Z</dcterms:modified>
</cp:coreProperties>
</file>